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hAnsiTheme="majorBidi" w:cstheme="majorBidi"/>
          <w:sz w:val="24"/>
          <w:szCs w:val="24"/>
        </w:rPr>
        <w:id w:val="-1087607939"/>
        <w:docPartObj>
          <w:docPartGallery w:val="Cover Pages"/>
          <w:docPartUnique/>
        </w:docPartObj>
      </w:sdtPr>
      <w:sdtContent>
        <w:p w:rsidR="002E2A32" w:rsidRPr="00B01A77" w:rsidRDefault="002E2A32" w:rsidP="00D55F9A">
          <w:pPr>
            <w:spacing w:line="480" w:lineRule="auto"/>
            <w:jc w:val="both"/>
            <w:rPr>
              <w:rFonts w:asciiTheme="majorBidi" w:hAnsiTheme="majorBidi" w:cstheme="majorBidi"/>
              <w:sz w:val="24"/>
              <w:szCs w:val="24"/>
            </w:rPr>
          </w:pPr>
          <w:r w:rsidRPr="00B01A77">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page">
                      <wp:posOffset>228600</wp:posOffset>
                    </wp:positionH>
                    <wp:positionV relativeFrom="page">
                      <wp:posOffset>1143000</wp:posOffset>
                    </wp:positionV>
                    <wp:extent cx="7437120" cy="384048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743712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720"/>
                                  <w:gridCol w:w="2583"/>
                                </w:tblGrid>
                                <w:tr w:rsidR="007D1D9A">
                                  <w:trPr>
                                    <w:jc w:val="center"/>
                                  </w:trPr>
                                  <w:tc>
                                    <w:tcPr>
                                      <w:tcW w:w="2568" w:type="pct"/>
                                      <w:vAlign w:val="center"/>
                                    </w:tcPr>
                                    <w:p w:rsidR="007D1D9A" w:rsidRDefault="007D1D9A">
                                      <w:pPr>
                                        <w:jc w:val="right"/>
                                      </w:pPr>
                                      <w:r>
                                        <w:rPr>
                                          <w:noProof/>
                                        </w:rPr>
                                        <w:drawing>
                                          <wp:inline distT="0" distB="0" distL="0" distR="0">
                                            <wp:extent cx="5715000" cy="4107180"/>
                                            <wp:effectExtent l="0" t="0" r="0" b="7620"/>
                                            <wp:docPr id="8" name="Picture 8" descr="Image result for dollar general vs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lar general vs targ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107180"/>
                                                    </a:xfrm>
                                                    <a:prstGeom prst="rect">
                                                      <a:avLst/>
                                                    </a:prstGeom>
                                                    <a:noFill/>
                                                    <a:ln>
                                                      <a:noFill/>
                                                    </a:ln>
                                                  </pic:spPr>
                                                </pic:pic>
                                              </a:graphicData>
                                            </a:graphic>
                                          </wp:inline>
                                        </w:drawing>
                                      </w:r>
                                    </w:p>
                                    <w:sdt>
                                      <w:sdtPr>
                                        <w:rPr>
                                          <w:caps/>
                                          <w:color w:val="191919" w:themeColor="text1" w:themeTint="E6"/>
                                          <w:sz w:val="72"/>
                                          <w:szCs w:val="72"/>
                                        </w:rPr>
                                        <w:alias w:val="Title"/>
                                        <w:tag w:val=""/>
                                        <w:id w:val="-727537647"/>
                                        <w:showingPlcHdr/>
                                        <w:dataBinding w:prefixMappings="xmlns:ns0='http://purl.org/dc/elements/1.1/' xmlns:ns1='http://schemas.openxmlformats.org/package/2006/metadata/core-properties' " w:xpath="/ns1:coreProperties[1]/ns0:title[1]" w:storeItemID="{6C3C8BC8-F283-45AE-878A-BAB7291924A1}"/>
                                        <w:text/>
                                      </w:sdtPr>
                                      <w:sdtContent>
                                        <w:p w:rsidR="007D1D9A" w:rsidRDefault="007D1D9A" w:rsidP="002E2A32">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rFonts w:ascii="Cambria Math" w:hAnsi="Cambria Math"/>
                                          <w:b/>
                                          <w:bCs/>
                                          <w:sz w:val="28"/>
                                          <w:szCs w:val="28"/>
                                        </w:rPr>
                                        <w:alias w:val="Subtitle"/>
                                        <w:tag w:val=""/>
                                        <w:id w:val="-335846183"/>
                                        <w:dataBinding w:prefixMappings="xmlns:ns0='http://purl.org/dc/elements/1.1/' xmlns:ns1='http://schemas.openxmlformats.org/package/2006/metadata/core-properties' " w:xpath="/ns1:coreProperties[1]/ns0:subject[1]" w:storeItemID="{6C3C8BC8-F283-45AE-878A-BAB7291924A1}"/>
                                        <w:text/>
                                      </w:sdtPr>
                                      <w:sdtContent>
                                        <w:p w:rsidR="007D1D9A" w:rsidRDefault="007D1D9A" w:rsidP="000C3AF4">
                                          <w:pPr>
                                            <w:jc w:val="right"/>
                                            <w:rPr>
                                              <w:sz w:val="24"/>
                                              <w:szCs w:val="24"/>
                                            </w:rPr>
                                          </w:pPr>
                                          <w:r>
                                            <w:rPr>
                                              <w:rFonts w:ascii="Cambria Math" w:hAnsi="Cambria Math"/>
                                              <w:b/>
                                              <w:bCs/>
                                              <w:sz w:val="28"/>
                                              <w:szCs w:val="28"/>
                                            </w:rPr>
                                            <w:t>Financial Statement Analysis Project For Investment Recommendations: Which of Target and Dollar General is more corporately successful, and is deemed as a safer option for investment?</w:t>
                                          </w:r>
                                        </w:p>
                                      </w:sdtContent>
                                    </w:sdt>
                                  </w:tc>
                                  <w:tc>
                                    <w:tcPr>
                                      <w:tcW w:w="2432" w:type="pct"/>
                                      <w:vAlign w:val="center"/>
                                    </w:tcPr>
                                    <w:p w:rsidR="007D1D9A" w:rsidRPr="002E2A32" w:rsidRDefault="007D1D9A" w:rsidP="00522E9C">
                                      <w:pPr>
                                        <w:rPr>
                                          <w:rFonts w:ascii="Cambria Math" w:hAnsi="Cambria Math"/>
                                          <w:sz w:val="24"/>
                                          <w:szCs w:val="24"/>
                                        </w:rPr>
                                      </w:pPr>
                                      <w:r>
                                        <w:rPr>
                                          <w:rFonts w:ascii="Cambria Math" w:hAnsi="Cambria Math"/>
                                          <w:sz w:val="24"/>
                                          <w:szCs w:val="24"/>
                                        </w:rPr>
                                        <w:t>Analyzing trends of Target and Dollar General, two pivotal businesses’ performances in the merchandising industry in USA and providing investment recommendations for future potential investors</w:t>
                                      </w:r>
                                    </w:p>
                                    <w:sdt>
                                      <w:sdtPr>
                                        <w:rPr>
                                          <w:color w:val="ED7D31" w:themeColor="accent2"/>
                                          <w:sz w:val="26"/>
                                          <w:szCs w:val="26"/>
                                        </w:rPr>
                                        <w:alias w:val="Author"/>
                                        <w:tag w:val=""/>
                                        <w:id w:val="1095676050"/>
                                        <w:dataBinding w:prefixMappings="xmlns:ns0='http://purl.org/dc/elements/1.1/' xmlns:ns1='http://schemas.openxmlformats.org/package/2006/metadata/core-properties' " w:xpath="/ns1:coreProperties[1]/ns0:creator[1]" w:storeItemID="{6C3C8BC8-F283-45AE-878A-BAB7291924A1}"/>
                                        <w:text/>
                                      </w:sdtPr>
                                      <w:sdtContent>
                                        <w:p w:rsidR="007D1D9A" w:rsidRDefault="007D1D9A" w:rsidP="002E2A32">
                                          <w:pPr>
                                            <w:pStyle w:val="NoSpacing"/>
                                            <w:rPr>
                                              <w:color w:val="ED7D31" w:themeColor="accent2"/>
                                              <w:sz w:val="26"/>
                                              <w:szCs w:val="26"/>
                                            </w:rPr>
                                          </w:pPr>
                                          <w:r>
                                            <w:rPr>
                                              <w:color w:val="ED7D31" w:themeColor="accent2"/>
                                              <w:sz w:val="26"/>
                                              <w:szCs w:val="26"/>
                                            </w:rPr>
                                            <w:t xml:space="preserve">By: Farah Termos, </w:t>
                                          </w:r>
                                          <w:proofErr w:type="spellStart"/>
                                          <w:r>
                                            <w:rPr>
                                              <w:color w:val="ED7D31" w:themeColor="accent2"/>
                                              <w:sz w:val="26"/>
                                              <w:szCs w:val="26"/>
                                            </w:rPr>
                                            <w:t>Laya</w:t>
                                          </w:r>
                                          <w:proofErr w:type="spellEnd"/>
                                          <w:r>
                                            <w:rPr>
                                              <w:color w:val="ED7D31" w:themeColor="accent2"/>
                                              <w:sz w:val="26"/>
                                              <w:szCs w:val="26"/>
                                            </w:rPr>
                                            <w:t xml:space="preserve"> </w:t>
                                          </w:r>
                                          <w:proofErr w:type="spellStart"/>
                                          <w:r>
                                            <w:rPr>
                                              <w:color w:val="ED7D31" w:themeColor="accent2"/>
                                              <w:sz w:val="26"/>
                                              <w:szCs w:val="26"/>
                                            </w:rPr>
                                            <w:t>Rifai</w:t>
                                          </w:r>
                                          <w:proofErr w:type="spellEnd"/>
                                          <w:r>
                                            <w:rPr>
                                              <w:color w:val="ED7D31" w:themeColor="accent2"/>
                                              <w:sz w:val="26"/>
                                              <w:szCs w:val="26"/>
                                            </w:rPr>
                                            <w:t xml:space="preserve">, Nadia </w:t>
                                          </w:r>
                                          <w:proofErr w:type="spellStart"/>
                                          <w:r>
                                            <w:rPr>
                                              <w:color w:val="ED7D31" w:themeColor="accent2"/>
                                              <w:sz w:val="26"/>
                                              <w:szCs w:val="26"/>
                                            </w:rPr>
                                            <w:t>Bou</w:t>
                                          </w:r>
                                          <w:proofErr w:type="spellEnd"/>
                                          <w:r>
                                            <w:rPr>
                                              <w:color w:val="ED7D31" w:themeColor="accent2"/>
                                              <w:sz w:val="26"/>
                                              <w:szCs w:val="26"/>
                                            </w:rPr>
                                            <w:t xml:space="preserve"> </w:t>
                                          </w:r>
                                          <w:proofErr w:type="spellStart"/>
                                          <w:r>
                                            <w:rPr>
                                              <w:color w:val="ED7D31" w:themeColor="accent2"/>
                                              <w:sz w:val="26"/>
                                              <w:szCs w:val="26"/>
                                            </w:rPr>
                                            <w:t>Assi</w:t>
                                          </w:r>
                                          <w:proofErr w:type="spellEnd"/>
                                          <w:r>
                                            <w:rPr>
                                              <w:color w:val="ED7D31" w:themeColor="accent2"/>
                                              <w:sz w:val="26"/>
                                              <w:szCs w:val="26"/>
                                            </w:rPr>
                                            <w:t xml:space="preserve"> &amp; </w:t>
                                          </w:r>
                                          <w:proofErr w:type="spellStart"/>
                                          <w:r>
                                            <w:rPr>
                                              <w:color w:val="ED7D31" w:themeColor="accent2"/>
                                              <w:sz w:val="26"/>
                                              <w:szCs w:val="26"/>
                                            </w:rPr>
                                            <w:t>Reine</w:t>
                                          </w:r>
                                          <w:proofErr w:type="spellEnd"/>
                                          <w:r>
                                            <w:rPr>
                                              <w:color w:val="ED7D31" w:themeColor="accent2"/>
                                              <w:sz w:val="26"/>
                                              <w:szCs w:val="26"/>
                                            </w:rPr>
                                            <w:t xml:space="preserve"> Slim</w:t>
                                          </w:r>
                                        </w:p>
                                      </w:sdtContent>
                                    </w:sdt>
                                    <w:p w:rsidR="007D1D9A" w:rsidRDefault="007D1D9A" w:rsidP="002E2A32">
                                      <w:pPr>
                                        <w:pStyle w:val="NoSpacing"/>
                                      </w:pPr>
                                      <w:sdt>
                                        <w:sdtPr>
                                          <w:rPr>
                                            <w:color w:val="44546A" w:themeColor="text2"/>
                                          </w:rPr>
                                          <w:alias w:val="Course"/>
                                          <w:tag w:val="Course"/>
                                          <w:id w:val="754023119"/>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rsidR="007D1D9A" w:rsidRDefault="007D1D9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left:0;text-align:left;margin-left:18pt;margin-top:90pt;width:585.6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720"/>
                            <w:gridCol w:w="2583"/>
                          </w:tblGrid>
                          <w:tr w:rsidR="007D1D9A">
                            <w:trPr>
                              <w:jc w:val="center"/>
                            </w:trPr>
                            <w:tc>
                              <w:tcPr>
                                <w:tcW w:w="2568" w:type="pct"/>
                                <w:vAlign w:val="center"/>
                              </w:tcPr>
                              <w:p w:rsidR="007D1D9A" w:rsidRDefault="007D1D9A">
                                <w:pPr>
                                  <w:jc w:val="right"/>
                                </w:pPr>
                                <w:r>
                                  <w:rPr>
                                    <w:noProof/>
                                  </w:rPr>
                                  <w:drawing>
                                    <wp:inline distT="0" distB="0" distL="0" distR="0">
                                      <wp:extent cx="5715000" cy="4107180"/>
                                      <wp:effectExtent l="0" t="0" r="0" b="7620"/>
                                      <wp:docPr id="8" name="Picture 8" descr="Image result for dollar general vs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llar general vs targ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107180"/>
                                              </a:xfrm>
                                              <a:prstGeom prst="rect">
                                                <a:avLst/>
                                              </a:prstGeom>
                                              <a:noFill/>
                                              <a:ln>
                                                <a:noFill/>
                                              </a:ln>
                                            </pic:spPr>
                                          </pic:pic>
                                        </a:graphicData>
                                      </a:graphic>
                                    </wp:inline>
                                  </w:drawing>
                                </w:r>
                              </w:p>
                              <w:sdt>
                                <w:sdtPr>
                                  <w:rPr>
                                    <w:caps/>
                                    <w:color w:val="191919" w:themeColor="text1" w:themeTint="E6"/>
                                    <w:sz w:val="72"/>
                                    <w:szCs w:val="72"/>
                                  </w:rPr>
                                  <w:alias w:val="Title"/>
                                  <w:tag w:val=""/>
                                  <w:id w:val="-727537647"/>
                                  <w:showingPlcHdr/>
                                  <w:dataBinding w:prefixMappings="xmlns:ns0='http://purl.org/dc/elements/1.1/' xmlns:ns1='http://schemas.openxmlformats.org/package/2006/metadata/core-properties' " w:xpath="/ns1:coreProperties[1]/ns0:title[1]" w:storeItemID="{6C3C8BC8-F283-45AE-878A-BAB7291924A1}"/>
                                  <w:text/>
                                </w:sdtPr>
                                <w:sdtContent>
                                  <w:p w:rsidR="007D1D9A" w:rsidRDefault="007D1D9A" w:rsidP="002E2A32">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rFonts w:ascii="Cambria Math" w:hAnsi="Cambria Math"/>
                                    <w:b/>
                                    <w:bCs/>
                                    <w:sz w:val="28"/>
                                    <w:szCs w:val="28"/>
                                  </w:rPr>
                                  <w:alias w:val="Subtitle"/>
                                  <w:tag w:val=""/>
                                  <w:id w:val="-335846183"/>
                                  <w:dataBinding w:prefixMappings="xmlns:ns0='http://purl.org/dc/elements/1.1/' xmlns:ns1='http://schemas.openxmlformats.org/package/2006/metadata/core-properties' " w:xpath="/ns1:coreProperties[1]/ns0:subject[1]" w:storeItemID="{6C3C8BC8-F283-45AE-878A-BAB7291924A1}"/>
                                  <w:text/>
                                </w:sdtPr>
                                <w:sdtContent>
                                  <w:p w:rsidR="007D1D9A" w:rsidRDefault="007D1D9A" w:rsidP="000C3AF4">
                                    <w:pPr>
                                      <w:jc w:val="right"/>
                                      <w:rPr>
                                        <w:sz w:val="24"/>
                                        <w:szCs w:val="24"/>
                                      </w:rPr>
                                    </w:pPr>
                                    <w:r>
                                      <w:rPr>
                                        <w:rFonts w:ascii="Cambria Math" w:hAnsi="Cambria Math"/>
                                        <w:b/>
                                        <w:bCs/>
                                        <w:sz w:val="28"/>
                                        <w:szCs w:val="28"/>
                                      </w:rPr>
                                      <w:t>Financial Statement Analysis Project For Investment Recommendations: Which of Target and Dollar General is more corporately successful, and is deemed as a safer option for investment?</w:t>
                                    </w:r>
                                  </w:p>
                                </w:sdtContent>
                              </w:sdt>
                            </w:tc>
                            <w:tc>
                              <w:tcPr>
                                <w:tcW w:w="2432" w:type="pct"/>
                                <w:vAlign w:val="center"/>
                              </w:tcPr>
                              <w:p w:rsidR="007D1D9A" w:rsidRPr="002E2A32" w:rsidRDefault="007D1D9A" w:rsidP="00522E9C">
                                <w:pPr>
                                  <w:rPr>
                                    <w:rFonts w:ascii="Cambria Math" w:hAnsi="Cambria Math"/>
                                    <w:sz w:val="24"/>
                                    <w:szCs w:val="24"/>
                                  </w:rPr>
                                </w:pPr>
                                <w:r>
                                  <w:rPr>
                                    <w:rFonts w:ascii="Cambria Math" w:hAnsi="Cambria Math"/>
                                    <w:sz w:val="24"/>
                                    <w:szCs w:val="24"/>
                                  </w:rPr>
                                  <w:t>Analyzing trends of Target and Dollar General, two pivotal businesses’ performances in the merchandising industry in USA and providing investment recommendations for future potential investors</w:t>
                                </w:r>
                              </w:p>
                              <w:sdt>
                                <w:sdtPr>
                                  <w:rPr>
                                    <w:color w:val="ED7D31" w:themeColor="accent2"/>
                                    <w:sz w:val="26"/>
                                    <w:szCs w:val="26"/>
                                  </w:rPr>
                                  <w:alias w:val="Author"/>
                                  <w:tag w:val=""/>
                                  <w:id w:val="1095676050"/>
                                  <w:dataBinding w:prefixMappings="xmlns:ns0='http://purl.org/dc/elements/1.1/' xmlns:ns1='http://schemas.openxmlformats.org/package/2006/metadata/core-properties' " w:xpath="/ns1:coreProperties[1]/ns0:creator[1]" w:storeItemID="{6C3C8BC8-F283-45AE-878A-BAB7291924A1}"/>
                                  <w:text/>
                                </w:sdtPr>
                                <w:sdtContent>
                                  <w:p w:rsidR="007D1D9A" w:rsidRDefault="007D1D9A" w:rsidP="002E2A32">
                                    <w:pPr>
                                      <w:pStyle w:val="NoSpacing"/>
                                      <w:rPr>
                                        <w:color w:val="ED7D31" w:themeColor="accent2"/>
                                        <w:sz w:val="26"/>
                                        <w:szCs w:val="26"/>
                                      </w:rPr>
                                    </w:pPr>
                                    <w:r>
                                      <w:rPr>
                                        <w:color w:val="ED7D31" w:themeColor="accent2"/>
                                        <w:sz w:val="26"/>
                                        <w:szCs w:val="26"/>
                                      </w:rPr>
                                      <w:t xml:space="preserve">By: Farah Termos, </w:t>
                                    </w:r>
                                    <w:proofErr w:type="spellStart"/>
                                    <w:r>
                                      <w:rPr>
                                        <w:color w:val="ED7D31" w:themeColor="accent2"/>
                                        <w:sz w:val="26"/>
                                        <w:szCs w:val="26"/>
                                      </w:rPr>
                                      <w:t>Laya</w:t>
                                    </w:r>
                                    <w:proofErr w:type="spellEnd"/>
                                    <w:r>
                                      <w:rPr>
                                        <w:color w:val="ED7D31" w:themeColor="accent2"/>
                                        <w:sz w:val="26"/>
                                        <w:szCs w:val="26"/>
                                      </w:rPr>
                                      <w:t xml:space="preserve"> </w:t>
                                    </w:r>
                                    <w:proofErr w:type="spellStart"/>
                                    <w:r>
                                      <w:rPr>
                                        <w:color w:val="ED7D31" w:themeColor="accent2"/>
                                        <w:sz w:val="26"/>
                                        <w:szCs w:val="26"/>
                                      </w:rPr>
                                      <w:t>Rifai</w:t>
                                    </w:r>
                                    <w:proofErr w:type="spellEnd"/>
                                    <w:r>
                                      <w:rPr>
                                        <w:color w:val="ED7D31" w:themeColor="accent2"/>
                                        <w:sz w:val="26"/>
                                        <w:szCs w:val="26"/>
                                      </w:rPr>
                                      <w:t xml:space="preserve">, Nadia </w:t>
                                    </w:r>
                                    <w:proofErr w:type="spellStart"/>
                                    <w:r>
                                      <w:rPr>
                                        <w:color w:val="ED7D31" w:themeColor="accent2"/>
                                        <w:sz w:val="26"/>
                                        <w:szCs w:val="26"/>
                                      </w:rPr>
                                      <w:t>Bou</w:t>
                                    </w:r>
                                    <w:proofErr w:type="spellEnd"/>
                                    <w:r>
                                      <w:rPr>
                                        <w:color w:val="ED7D31" w:themeColor="accent2"/>
                                        <w:sz w:val="26"/>
                                        <w:szCs w:val="26"/>
                                      </w:rPr>
                                      <w:t xml:space="preserve"> </w:t>
                                    </w:r>
                                    <w:proofErr w:type="spellStart"/>
                                    <w:r>
                                      <w:rPr>
                                        <w:color w:val="ED7D31" w:themeColor="accent2"/>
                                        <w:sz w:val="26"/>
                                        <w:szCs w:val="26"/>
                                      </w:rPr>
                                      <w:t>Assi</w:t>
                                    </w:r>
                                    <w:proofErr w:type="spellEnd"/>
                                    <w:r>
                                      <w:rPr>
                                        <w:color w:val="ED7D31" w:themeColor="accent2"/>
                                        <w:sz w:val="26"/>
                                        <w:szCs w:val="26"/>
                                      </w:rPr>
                                      <w:t xml:space="preserve"> &amp; </w:t>
                                    </w:r>
                                    <w:proofErr w:type="spellStart"/>
                                    <w:r>
                                      <w:rPr>
                                        <w:color w:val="ED7D31" w:themeColor="accent2"/>
                                        <w:sz w:val="26"/>
                                        <w:szCs w:val="26"/>
                                      </w:rPr>
                                      <w:t>Reine</w:t>
                                    </w:r>
                                    <w:proofErr w:type="spellEnd"/>
                                    <w:r>
                                      <w:rPr>
                                        <w:color w:val="ED7D31" w:themeColor="accent2"/>
                                        <w:sz w:val="26"/>
                                        <w:szCs w:val="26"/>
                                      </w:rPr>
                                      <w:t xml:space="preserve"> Slim</w:t>
                                    </w:r>
                                  </w:p>
                                </w:sdtContent>
                              </w:sdt>
                              <w:p w:rsidR="007D1D9A" w:rsidRDefault="007D1D9A" w:rsidP="002E2A32">
                                <w:pPr>
                                  <w:pStyle w:val="NoSpacing"/>
                                </w:pPr>
                                <w:sdt>
                                  <w:sdtPr>
                                    <w:rPr>
                                      <w:color w:val="44546A" w:themeColor="text2"/>
                                    </w:rPr>
                                    <w:alias w:val="Course"/>
                                    <w:tag w:val="Course"/>
                                    <w:id w:val="754023119"/>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rsidR="007D1D9A" w:rsidRDefault="007D1D9A"/>
                      </w:txbxContent>
                    </v:textbox>
                    <w10:wrap anchorx="page" anchory="page"/>
                  </v:shape>
                </w:pict>
              </mc:Fallback>
            </mc:AlternateContent>
          </w:r>
          <w:r w:rsidRPr="00B01A77">
            <w:rPr>
              <w:rFonts w:asciiTheme="majorBidi" w:hAnsiTheme="majorBidi" w:cstheme="majorBidi"/>
              <w:sz w:val="24"/>
              <w:szCs w:val="24"/>
            </w:rPr>
            <w:br w:type="page"/>
          </w:r>
        </w:p>
      </w:sdtContent>
    </w:sdt>
    <w:sdt>
      <w:sdtPr>
        <w:rPr>
          <w:rFonts w:asciiTheme="majorBidi" w:eastAsiaTheme="minorHAnsi" w:hAnsiTheme="majorBidi" w:cstheme="minorBidi"/>
          <w:color w:val="auto"/>
          <w:sz w:val="24"/>
          <w:szCs w:val="24"/>
        </w:rPr>
        <w:id w:val="-442460732"/>
        <w:docPartObj>
          <w:docPartGallery w:val="Table of Contents"/>
          <w:docPartUnique/>
        </w:docPartObj>
      </w:sdtPr>
      <w:sdtContent>
        <w:p w:rsidR="00C857F5" w:rsidRPr="00865C5A" w:rsidRDefault="00C857F5" w:rsidP="00865C5A">
          <w:pPr>
            <w:pStyle w:val="TOCHeading"/>
            <w:spacing w:line="720" w:lineRule="auto"/>
            <w:jc w:val="center"/>
            <w:rPr>
              <w:rFonts w:asciiTheme="majorBidi" w:hAnsiTheme="majorBidi"/>
              <w:b/>
              <w:bCs/>
              <w:sz w:val="28"/>
              <w:szCs w:val="28"/>
              <w:u w:val="single"/>
            </w:rPr>
          </w:pPr>
          <w:r w:rsidRPr="00865C5A">
            <w:rPr>
              <w:rFonts w:asciiTheme="majorBidi" w:hAnsiTheme="majorBidi"/>
              <w:b/>
              <w:bCs/>
              <w:sz w:val="28"/>
              <w:szCs w:val="28"/>
              <w:u w:val="single"/>
            </w:rPr>
            <w:t>Table of Contents</w:t>
          </w:r>
        </w:p>
        <w:p w:rsidR="00C857F5" w:rsidRPr="00B01A77" w:rsidRDefault="004A62FE" w:rsidP="00D55F9A">
          <w:pPr>
            <w:spacing w:line="480" w:lineRule="auto"/>
            <w:jc w:val="both"/>
            <w:rPr>
              <w:rFonts w:asciiTheme="majorBidi" w:hAnsiTheme="majorBidi" w:cstheme="majorBidi"/>
              <w:b/>
              <w:bCs/>
              <w:sz w:val="24"/>
              <w:szCs w:val="24"/>
            </w:rPr>
          </w:pPr>
          <w:r w:rsidRPr="00B01A77">
            <w:rPr>
              <w:rFonts w:asciiTheme="majorBidi" w:hAnsiTheme="majorBidi" w:cstheme="majorBidi"/>
              <w:b/>
              <w:bCs/>
              <w:sz w:val="24"/>
              <w:szCs w:val="24"/>
            </w:rPr>
            <w:t>The Merchandising Industry, Target and Dollar General</w:t>
          </w:r>
        </w:p>
        <w:p w:rsidR="00C857F5" w:rsidRPr="00B01A77" w:rsidRDefault="00C857F5" w:rsidP="00D55F9A">
          <w:pPr>
            <w:pStyle w:val="TOC2"/>
            <w:spacing w:line="720" w:lineRule="auto"/>
            <w:ind w:left="216"/>
            <w:jc w:val="both"/>
            <w:rPr>
              <w:rFonts w:asciiTheme="majorBidi" w:hAnsiTheme="majorBidi" w:cstheme="majorBidi"/>
              <w:sz w:val="24"/>
              <w:szCs w:val="24"/>
            </w:rPr>
          </w:pPr>
          <w:r w:rsidRPr="00B01A77">
            <w:rPr>
              <w:rFonts w:asciiTheme="majorBidi" w:hAnsiTheme="majorBidi" w:cstheme="majorBidi"/>
              <w:sz w:val="24"/>
              <w:szCs w:val="24"/>
            </w:rPr>
            <w:t>A summary of the merchandising industry and its performance</w:t>
          </w:r>
          <w:r w:rsidRPr="00B01A77">
            <w:rPr>
              <w:rFonts w:asciiTheme="majorBidi" w:hAnsiTheme="majorBidi" w:cstheme="majorBidi"/>
              <w:sz w:val="24"/>
              <w:szCs w:val="24"/>
            </w:rPr>
            <w:ptab w:relativeTo="margin" w:alignment="right" w:leader="dot"/>
          </w:r>
          <w:r w:rsidR="00D55F9A" w:rsidRPr="00B01A77">
            <w:rPr>
              <w:rFonts w:asciiTheme="majorBidi" w:hAnsiTheme="majorBidi" w:cstheme="majorBidi"/>
              <w:sz w:val="24"/>
              <w:szCs w:val="24"/>
            </w:rPr>
            <w:t>2</w:t>
          </w:r>
        </w:p>
        <w:p w:rsidR="00C857F5" w:rsidRPr="00B01A77" w:rsidRDefault="00C857F5" w:rsidP="00D55F9A">
          <w:pPr>
            <w:pStyle w:val="TOC3"/>
            <w:spacing w:line="720" w:lineRule="auto"/>
            <w:jc w:val="both"/>
            <w:rPr>
              <w:rFonts w:asciiTheme="majorBidi" w:hAnsiTheme="majorBidi" w:cstheme="majorBidi"/>
              <w:sz w:val="24"/>
              <w:szCs w:val="24"/>
            </w:rPr>
          </w:pPr>
          <w:r w:rsidRPr="00B01A77">
            <w:rPr>
              <w:rFonts w:asciiTheme="majorBidi" w:hAnsiTheme="majorBidi" w:cstheme="majorBidi"/>
              <w:sz w:val="24"/>
              <w:szCs w:val="24"/>
            </w:rPr>
            <w:t>Target relative to the Merchandising industry</w:t>
          </w:r>
          <w:r w:rsidRPr="00B01A77">
            <w:rPr>
              <w:rFonts w:asciiTheme="majorBidi" w:hAnsiTheme="majorBidi" w:cstheme="majorBidi"/>
              <w:sz w:val="24"/>
              <w:szCs w:val="24"/>
            </w:rPr>
            <w:ptab w:relativeTo="margin" w:alignment="right" w:leader="dot"/>
          </w:r>
          <w:r w:rsidRPr="00B01A77">
            <w:rPr>
              <w:rFonts w:asciiTheme="majorBidi" w:hAnsiTheme="majorBidi" w:cstheme="majorBidi"/>
              <w:sz w:val="24"/>
              <w:szCs w:val="24"/>
            </w:rPr>
            <w:t>2</w:t>
          </w:r>
        </w:p>
        <w:p w:rsidR="00C857F5" w:rsidRPr="00B01A77" w:rsidRDefault="00C857F5" w:rsidP="00D55F9A">
          <w:pPr>
            <w:pStyle w:val="TOC3"/>
            <w:spacing w:line="720" w:lineRule="auto"/>
            <w:ind w:left="446"/>
            <w:jc w:val="both"/>
            <w:rPr>
              <w:rFonts w:asciiTheme="majorBidi" w:hAnsiTheme="majorBidi" w:cstheme="majorBidi"/>
              <w:sz w:val="24"/>
              <w:szCs w:val="24"/>
            </w:rPr>
          </w:pPr>
          <w:r w:rsidRPr="00B01A77">
            <w:rPr>
              <w:rFonts w:asciiTheme="majorBidi" w:hAnsiTheme="majorBidi" w:cstheme="majorBidi"/>
              <w:sz w:val="24"/>
              <w:szCs w:val="24"/>
            </w:rPr>
            <w:t xml:space="preserve">Dollar General relative to the Merchandising industry </w:t>
          </w:r>
          <w:r w:rsidRPr="00B01A77">
            <w:rPr>
              <w:rFonts w:asciiTheme="majorBidi" w:hAnsiTheme="majorBidi" w:cstheme="majorBidi"/>
              <w:sz w:val="24"/>
              <w:szCs w:val="24"/>
            </w:rPr>
            <w:ptab w:relativeTo="margin" w:alignment="right" w:leader="dot"/>
          </w:r>
          <w:r w:rsidRPr="00B01A77">
            <w:rPr>
              <w:rFonts w:asciiTheme="majorBidi" w:hAnsiTheme="majorBidi" w:cstheme="majorBidi"/>
              <w:sz w:val="24"/>
              <w:szCs w:val="24"/>
            </w:rPr>
            <w:t>2</w:t>
          </w:r>
        </w:p>
        <w:p w:rsidR="007A0307" w:rsidRPr="00B01A77" w:rsidRDefault="007A0307" w:rsidP="007A0307">
          <w:pPr>
            <w:spacing w:line="480" w:lineRule="auto"/>
            <w:jc w:val="both"/>
            <w:rPr>
              <w:rFonts w:asciiTheme="majorBidi" w:hAnsiTheme="majorBidi" w:cstheme="majorBidi"/>
              <w:b/>
              <w:bCs/>
              <w:sz w:val="24"/>
              <w:szCs w:val="24"/>
            </w:rPr>
          </w:pPr>
          <w:r w:rsidRPr="00B01A77">
            <w:rPr>
              <w:rFonts w:asciiTheme="majorBidi" w:hAnsiTheme="majorBidi" w:cstheme="majorBidi"/>
              <w:b/>
              <w:bCs/>
              <w:sz w:val="24"/>
              <w:szCs w:val="24"/>
            </w:rPr>
            <w:t>Discussion of Target and Dollar General’s performance</w:t>
          </w:r>
        </w:p>
        <w:p w:rsidR="00C857F5" w:rsidRPr="00B01A77" w:rsidRDefault="000B6BEF" w:rsidP="00D55F9A">
          <w:pPr>
            <w:pStyle w:val="TOC2"/>
            <w:spacing w:line="720" w:lineRule="auto"/>
            <w:ind w:left="216"/>
            <w:jc w:val="both"/>
            <w:rPr>
              <w:rFonts w:asciiTheme="majorBidi" w:hAnsiTheme="majorBidi" w:cstheme="majorBidi"/>
              <w:sz w:val="24"/>
              <w:szCs w:val="24"/>
            </w:rPr>
          </w:pPr>
          <w:r w:rsidRPr="00B01A77">
            <w:rPr>
              <w:rFonts w:asciiTheme="majorBidi" w:hAnsiTheme="majorBidi" w:cstheme="majorBidi"/>
              <w:sz w:val="24"/>
              <w:szCs w:val="24"/>
            </w:rPr>
            <w:t>Financial and nonfinancial information relative to Dollar General’s performance</w:t>
          </w:r>
          <w:r w:rsidR="00C857F5" w:rsidRPr="00B01A77">
            <w:rPr>
              <w:rFonts w:asciiTheme="majorBidi" w:hAnsiTheme="majorBidi" w:cstheme="majorBidi"/>
              <w:sz w:val="24"/>
              <w:szCs w:val="24"/>
            </w:rPr>
            <w:ptab w:relativeTo="margin" w:alignment="right" w:leader="dot"/>
          </w:r>
          <w:r w:rsidR="00D55F9A" w:rsidRPr="00B01A77">
            <w:rPr>
              <w:rFonts w:asciiTheme="majorBidi" w:hAnsiTheme="majorBidi" w:cstheme="majorBidi"/>
              <w:sz w:val="24"/>
              <w:szCs w:val="24"/>
            </w:rPr>
            <w:t>3</w:t>
          </w:r>
        </w:p>
        <w:p w:rsidR="000B6BEF" w:rsidRPr="00B01A77" w:rsidRDefault="000B6BEF" w:rsidP="00D55F9A">
          <w:pPr>
            <w:pStyle w:val="TOC3"/>
            <w:spacing w:line="720" w:lineRule="auto"/>
            <w:ind w:left="446"/>
            <w:jc w:val="both"/>
            <w:rPr>
              <w:rFonts w:asciiTheme="majorBidi" w:hAnsiTheme="majorBidi" w:cstheme="majorBidi"/>
              <w:sz w:val="24"/>
              <w:szCs w:val="24"/>
            </w:rPr>
          </w:pPr>
          <w:r w:rsidRPr="00B01A77">
            <w:rPr>
              <w:rFonts w:asciiTheme="majorBidi" w:hAnsiTheme="majorBidi" w:cstheme="majorBidi"/>
              <w:sz w:val="24"/>
              <w:szCs w:val="24"/>
            </w:rPr>
            <w:t>Financial and nonfinancial information relative to Target’s performance</w:t>
          </w:r>
          <w:r w:rsidR="00C857F5" w:rsidRPr="00B01A77">
            <w:rPr>
              <w:rFonts w:asciiTheme="majorBidi" w:hAnsiTheme="majorBidi" w:cstheme="majorBidi"/>
              <w:sz w:val="24"/>
              <w:szCs w:val="24"/>
            </w:rPr>
            <w:ptab w:relativeTo="margin" w:alignment="right" w:leader="dot"/>
          </w:r>
          <w:r w:rsidR="00D55F9A" w:rsidRPr="00B01A77">
            <w:rPr>
              <w:rFonts w:asciiTheme="majorBidi" w:hAnsiTheme="majorBidi" w:cstheme="majorBidi"/>
              <w:sz w:val="24"/>
              <w:szCs w:val="24"/>
            </w:rPr>
            <w:t>4-5</w:t>
          </w:r>
        </w:p>
        <w:p w:rsidR="00865C5A" w:rsidRDefault="00865C5A" w:rsidP="00865C5A">
          <w:pPr>
            <w:pStyle w:val="Body"/>
            <w:spacing w:line="480" w:lineRule="auto"/>
            <w:jc w:val="both"/>
            <w:rPr>
              <w:rFonts w:asciiTheme="majorBidi" w:hAnsiTheme="majorBidi" w:cstheme="majorBidi"/>
              <w:b/>
              <w:bCs/>
              <w:sz w:val="24"/>
              <w:szCs w:val="24"/>
            </w:rPr>
          </w:pPr>
          <w:r w:rsidRPr="00B01A77">
            <w:rPr>
              <w:rFonts w:asciiTheme="majorBidi" w:hAnsiTheme="majorBidi" w:cstheme="majorBidi"/>
              <w:b/>
              <w:bCs/>
              <w:sz w:val="24"/>
              <w:szCs w:val="24"/>
            </w:rPr>
            <w:t xml:space="preserve">Is it better to invest in Target, or Dollar General? </w:t>
          </w:r>
        </w:p>
        <w:p w:rsidR="000B6BEF" w:rsidRDefault="00865C5A" w:rsidP="00667433">
          <w:pPr>
            <w:pStyle w:val="TOC2"/>
            <w:spacing w:line="720" w:lineRule="auto"/>
            <w:ind w:left="216"/>
            <w:jc w:val="both"/>
            <w:rPr>
              <w:rFonts w:asciiTheme="majorBidi" w:hAnsiTheme="majorBidi" w:cstheme="majorBidi"/>
              <w:sz w:val="24"/>
              <w:szCs w:val="24"/>
            </w:rPr>
          </w:pPr>
          <w:r>
            <w:rPr>
              <w:rFonts w:asciiTheme="majorBidi" w:hAnsiTheme="majorBidi" w:cstheme="majorBidi"/>
              <w:sz w:val="24"/>
              <w:szCs w:val="24"/>
            </w:rPr>
            <w:t>A recommendation for potential investors</w:t>
          </w:r>
          <w:r w:rsidR="000B6BEF" w:rsidRPr="00B01A77">
            <w:rPr>
              <w:rFonts w:asciiTheme="majorBidi" w:hAnsiTheme="majorBidi" w:cstheme="majorBidi"/>
              <w:sz w:val="24"/>
              <w:szCs w:val="24"/>
            </w:rPr>
            <w:ptab w:relativeTo="margin" w:alignment="right" w:leader="dot"/>
          </w:r>
          <w:r w:rsidR="00667433">
            <w:rPr>
              <w:rFonts w:asciiTheme="majorBidi" w:hAnsiTheme="majorBidi" w:cstheme="majorBidi"/>
              <w:sz w:val="24"/>
              <w:szCs w:val="24"/>
            </w:rPr>
            <w:t>6</w:t>
          </w:r>
        </w:p>
        <w:p w:rsidR="00865C5A" w:rsidRDefault="00865C5A" w:rsidP="00865C5A">
          <w:pPr>
            <w:pStyle w:val="TOC2"/>
            <w:spacing w:line="720" w:lineRule="auto"/>
            <w:ind w:left="216"/>
            <w:jc w:val="both"/>
            <w:rPr>
              <w:rFonts w:asciiTheme="majorBidi" w:hAnsiTheme="majorBidi" w:cstheme="majorBidi"/>
              <w:sz w:val="24"/>
              <w:szCs w:val="24"/>
            </w:rPr>
          </w:pPr>
          <w:r>
            <w:rPr>
              <w:rFonts w:asciiTheme="majorBidi" w:hAnsiTheme="majorBidi" w:cstheme="majorBidi"/>
              <w:sz w:val="24"/>
              <w:szCs w:val="24"/>
            </w:rPr>
            <w:t>Target VS. Dollar General stock value</w:t>
          </w:r>
          <w:r w:rsidRPr="00B01A77">
            <w:rPr>
              <w:rFonts w:asciiTheme="majorBidi" w:hAnsiTheme="majorBidi" w:cstheme="majorBidi"/>
              <w:sz w:val="24"/>
              <w:szCs w:val="24"/>
            </w:rPr>
            <w:ptab w:relativeTo="margin" w:alignment="right" w:leader="dot"/>
          </w:r>
          <w:r w:rsidR="00667433">
            <w:rPr>
              <w:rFonts w:asciiTheme="majorBidi" w:hAnsiTheme="majorBidi" w:cstheme="majorBidi"/>
              <w:sz w:val="24"/>
              <w:szCs w:val="24"/>
            </w:rPr>
            <w:t>7</w:t>
          </w:r>
        </w:p>
        <w:p w:rsidR="00077B92" w:rsidRDefault="00077B92" w:rsidP="00077B92">
          <w:pPr>
            <w:pStyle w:val="Body"/>
            <w:spacing w:line="480" w:lineRule="auto"/>
            <w:jc w:val="both"/>
            <w:rPr>
              <w:rFonts w:asciiTheme="majorBidi" w:hAnsiTheme="majorBidi" w:cstheme="majorBidi"/>
              <w:sz w:val="24"/>
              <w:szCs w:val="24"/>
            </w:rPr>
          </w:pPr>
          <w:r>
            <w:rPr>
              <w:rFonts w:asciiTheme="majorBidi" w:hAnsiTheme="majorBidi" w:cstheme="majorBidi"/>
              <w:b/>
              <w:bCs/>
              <w:sz w:val="24"/>
              <w:szCs w:val="24"/>
            </w:rPr>
            <w:t>Works Cited</w:t>
          </w:r>
        </w:p>
        <w:p w:rsidR="00077B92" w:rsidRPr="00077B92" w:rsidRDefault="00077B92" w:rsidP="00077B92">
          <w:pPr>
            <w:pStyle w:val="Body"/>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Appendix </w:t>
          </w:r>
          <w:bookmarkStart w:id="0" w:name="_GoBack"/>
          <w:bookmarkEnd w:id="0"/>
        </w:p>
        <w:p w:rsidR="00077B92" w:rsidRPr="00077B92" w:rsidRDefault="00077B92" w:rsidP="00077B92"/>
        <w:p w:rsidR="00865C5A" w:rsidRPr="00865C5A" w:rsidRDefault="00865C5A" w:rsidP="00865C5A"/>
        <w:p w:rsidR="00C857F5" w:rsidRPr="00B01A77" w:rsidRDefault="007D1D9A" w:rsidP="00D55F9A">
          <w:pPr>
            <w:spacing w:line="720" w:lineRule="auto"/>
            <w:jc w:val="both"/>
            <w:rPr>
              <w:rFonts w:asciiTheme="majorBidi" w:hAnsiTheme="majorBidi" w:cstheme="majorBidi"/>
              <w:sz w:val="24"/>
              <w:szCs w:val="24"/>
            </w:rPr>
          </w:pPr>
        </w:p>
      </w:sdtContent>
    </w:sdt>
    <w:p w:rsidR="000B0EBF" w:rsidRPr="00B01A77" w:rsidRDefault="000B0EBF" w:rsidP="00D55F9A">
      <w:pPr>
        <w:spacing w:line="480" w:lineRule="auto"/>
        <w:jc w:val="both"/>
        <w:rPr>
          <w:rFonts w:asciiTheme="majorBidi" w:hAnsiTheme="majorBidi" w:cstheme="majorBidi"/>
          <w:b/>
          <w:bCs/>
          <w:sz w:val="24"/>
          <w:szCs w:val="24"/>
        </w:rPr>
      </w:pPr>
    </w:p>
    <w:p w:rsidR="004A62FE" w:rsidRDefault="004A62FE" w:rsidP="00D55F9A">
      <w:pPr>
        <w:spacing w:line="480" w:lineRule="auto"/>
        <w:jc w:val="both"/>
        <w:rPr>
          <w:rFonts w:asciiTheme="majorBidi" w:hAnsiTheme="majorBidi" w:cstheme="majorBidi"/>
          <w:sz w:val="24"/>
          <w:szCs w:val="24"/>
        </w:rPr>
      </w:pPr>
    </w:p>
    <w:p w:rsidR="000B0EBF" w:rsidRPr="00B01A77" w:rsidRDefault="000B0EBF" w:rsidP="00407CAA">
      <w:pPr>
        <w:spacing w:line="480" w:lineRule="auto"/>
        <w:jc w:val="both"/>
        <w:rPr>
          <w:rFonts w:asciiTheme="majorBidi" w:hAnsiTheme="majorBidi" w:cstheme="majorBidi"/>
          <w:sz w:val="24"/>
          <w:szCs w:val="24"/>
        </w:rPr>
      </w:pPr>
    </w:p>
    <w:p w:rsidR="000B0EBF" w:rsidRPr="00B01A77" w:rsidRDefault="000B0EBF" w:rsidP="00D55F9A">
      <w:pPr>
        <w:spacing w:line="480" w:lineRule="auto"/>
        <w:jc w:val="both"/>
        <w:rPr>
          <w:rFonts w:asciiTheme="majorBidi" w:hAnsiTheme="majorBidi" w:cstheme="majorBidi"/>
          <w:b/>
          <w:bCs/>
          <w:sz w:val="24"/>
          <w:szCs w:val="24"/>
        </w:rPr>
      </w:pPr>
      <w:r w:rsidRPr="00B01A77">
        <w:rPr>
          <w:rFonts w:asciiTheme="majorBidi" w:hAnsiTheme="majorBidi" w:cstheme="majorBidi"/>
          <w:b/>
          <w:bCs/>
          <w:sz w:val="24"/>
          <w:szCs w:val="24"/>
        </w:rPr>
        <w:t xml:space="preserve">The Merchandising Industry, Target and Dollar General  </w:t>
      </w:r>
    </w:p>
    <w:p w:rsidR="003E1E28" w:rsidRPr="00B01A77" w:rsidRDefault="007A0307" w:rsidP="00D55F9A">
      <w:pPr>
        <w:spacing w:line="480" w:lineRule="auto"/>
        <w:ind w:firstLine="720"/>
        <w:jc w:val="both"/>
        <w:rPr>
          <w:rFonts w:asciiTheme="majorBidi" w:hAnsiTheme="majorBidi" w:cstheme="majorBidi"/>
          <w:sz w:val="24"/>
          <w:szCs w:val="24"/>
        </w:rPr>
      </w:pPr>
      <w:r w:rsidRPr="00B01A77">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10FC9B9B" wp14:editId="45EA457A">
                <wp:simplePos x="0" y="0"/>
                <wp:positionH relativeFrom="margin">
                  <wp:align>left</wp:align>
                </wp:positionH>
                <wp:positionV relativeFrom="paragraph">
                  <wp:posOffset>1814830</wp:posOffset>
                </wp:positionV>
                <wp:extent cx="2810510" cy="601980"/>
                <wp:effectExtent l="0" t="0" r="27940" b="26670"/>
                <wp:wrapSquare wrapText="bothSides"/>
                <wp:docPr id="4" name="Text Box 4"/>
                <wp:cNvGraphicFramePr/>
                <a:graphic xmlns:a="http://schemas.openxmlformats.org/drawingml/2006/main">
                  <a:graphicData uri="http://schemas.microsoft.com/office/word/2010/wordprocessingShape">
                    <wps:wsp>
                      <wps:cNvSpPr txBox="1"/>
                      <wps:spPr>
                        <a:xfrm>
                          <a:off x="0" y="0"/>
                          <a:ext cx="2810510" cy="601980"/>
                        </a:xfrm>
                        <a:prstGeom prst="rect">
                          <a:avLst/>
                        </a:prstGeom>
                        <a:solidFill>
                          <a:prstClr val="white"/>
                        </a:solidFill>
                        <a:ln>
                          <a:solidFill>
                            <a:srgbClr val="FF0000"/>
                          </a:solidFill>
                        </a:ln>
                        <a:effectLst/>
                      </wps:spPr>
                      <wps:txbx>
                        <w:txbxContent>
                          <w:p w:rsidR="007D1D9A" w:rsidRPr="00406F00" w:rsidRDefault="007D1D9A" w:rsidP="00406F00">
                            <w:pPr>
                              <w:pStyle w:val="Caption"/>
                              <w:jc w:val="center"/>
                              <w:rPr>
                                <w:i w:val="0"/>
                                <w:iCs w:val="0"/>
                                <w:noProof/>
                              </w:rPr>
                            </w:pPr>
                            <w:r w:rsidRPr="00406F00">
                              <w:rPr>
                                <w:i w:val="0"/>
                                <w:iCs w:val="0"/>
                              </w:rPr>
                              <w:t xml:space="preserve">Figure </w:t>
                            </w:r>
                            <w:r w:rsidRPr="00406F00">
                              <w:rPr>
                                <w:i w:val="0"/>
                                <w:iCs w:val="0"/>
                              </w:rPr>
                              <w:fldChar w:fldCharType="begin"/>
                            </w:r>
                            <w:r w:rsidRPr="00406F00">
                              <w:rPr>
                                <w:i w:val="0"/>
                                <w:iCs w:val="0"/>
                              </w:rPr>
                              <w:instrText xml:space="preserve"> SEQ Figure \* ARABIC </w:instrText>
                            </w:r>
                            <w:r w:rsidRPr="00406F00">
                              <w:rPr>
                                <w:i w:val="0"/>
                                <w:iCs w:val="0"/>
                              </w:rPr>
                              <w:fldChar w:fldCharType="separate"/>
                            </w:r>
                            <w:r>
                              <w:rPr>
                                <w:i w:val="0"/>
                                <w:iCs w:val="0"/>
                                <w:noProof/>
                              </w:rPr>
                              <w:t>1</w:t>
                            </w:r>
                            <w:r w:rsidRPr="00406F00">
                              <w:rPr>
                                <w:i w:val="0"/>
                                <w:iCs w:val="0"/>
                              </w:rPr>
                              <w:fldChar w:fldCharType="end"/>
                            </w:r>
                            <w:r w:rsidRPr="00406F00">
                              <w:rPr>
                                <w:i w:val="0"/>
                                <w:iCs w:val="0"/>
                              </w:rPr>
                              <w:t xml:space="preserve"> - Target's success as a company and </w:t>
                            </w:r>
                            <w:r>
                              <w:rPr>
                                <w:i w:val="0"/>
                                <w:iCs w:val="0"/>
                              </w:rPr>
                              <w:t xml:space="preserve">its </w:t>
                            </w:r>
                            <w:r w:rsidRPr="00406F00">
                              <w:rPr>
                                <w:i w:val="0"/>
                                <w:iCs w:val="0"/>
                              </w:rPr>
                              <w:t xml:space="preserve">huge financial figures comes from a smart marketing </w:t>
                            </w:r>
                            <w:r>
                              <w:rPr>
                                <w:i w:val="0"/>
                                <w:iCs w:val="0"/>
                              </w:rPr>
                              <w:t xml:space="preserve">procedure – much like in this infamous and viral Target headphones marketing campaign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C9B9B" id="Text Box 4" o:spid="_x0000_s1027" type="#_x0000_t202" style="position:absolute;left:0;text-align:left;margin-left:0;margin-top:142.9pt;width:221.3pt;height:47.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" strokecolor="red">
                <v:textbox inset="0,0,0,0">
                  <w:txbxContent>
                    <w:p w:rsidR="007D1D9A" w:rsidRPr="00406F00" w:rsidRDefault="007D1D9A" w:rsidP="00406F00">
                      <w:pPr>
                        <w:pStyle w:val="Caption"/>
                        <w:jc w:val="center"/>
                        <w:rPr>
                          <w:i w:val="0"/>
                          <w:iCs w:val="0"/>
                          <w:noProof/>
                        </w:rPr>
                      </w:pPr>
                      <w:r w:rsidRPr="00406F00">
                        <w:rPr>
                          <w:i w:val="0"/>
                          <w:iCs w:val="0"/>
                        </w:rPr>
                        <w:t xml:space="preserve">Figure </w:t>
                      </w:r>
                      <w:r w:rsidRPr="00406F00">
                        <w:rPr>
                          <w:i w:val="0"/>
                          <w:iCs w:val="0"/>
                        </w:rPr>
                        <w:fldChar w:fldCharType="begin"/>
                      </w:r>
                      <w:r w:rsidRPr="00406F00">
                        <w:rPr>
                          <w:i w:val="0"/>
                          <w:iCs w:val="0"/>
                        </w:rPr>
                        <w:instrText xml:space="preserve"> SEQ Figure \* ARABIC </w:instrText>
                      </w:r>
                      <w:r w:rsidRPr="00406F00">
                        <w:rPr>
                          <w:i w:val="0"/>
                          <w:iCs w:val="0"/>
                        </w:rPr>
                        <w:fldChar w:fldCharType="separate"/>
                      </w:r>
                      <w:r>
                        <w:rPr>
                          <w:i w:val="0"/>
                          <w:iCs w:val="0"/>
                          <w:noProof/>
                        </w:rPr>
                        <w:t>1</w:t>
                      </w:r>
                      <w:r w:rsidRPr="00406F00">
                        <w:rPr>
                          <w:i w:val="0"/>
                          <w:iCs w:val="0"/>
                        </w:rPr>
                        <w:fldChar w:fldCharType="end"/>
                      </w:r>
                      <w:r w:rsidRPr="00406F00">
                        <w:rPr>
                          <w:i w:val="0"/>
                          <w:iCs w:val="0"/>
                        </w:rPr>
                        <w:t xml:space="preserve"> - Target's success as a company and </w:t>
                      </w:r>
                      <w:r>
                        <w:rPr>
                          <w:i w:val="0"/>
                          <w:iCs w:val="0"/>
                        </w:rPr>
                        <w:t xml:space="preserve">its </w:t>
                      </w:r>
                      <w:r w:rsidRPr="00406F00">
                        <w:rPr>
                          <w:i w:val="0"/>
                          <w:iCs w:val="0"/>
                        </w:rPr>
                        <w:t xml:space="preserve">huge financial figures comes from a smart marketing </w:t>
                      </w:r>
                      <w:r>
                        <w:rPr>
                          <w:i w:val="0"/>
                          <w:iCs w:val="0"/>
                        </w:rPr>
                        <w:t xml:space="preserve">procedure – much like in this infamous and viral Target headphones marketing campaign </w:t>
                      </w:r>
                    </w:p>
                  </w:txbxContent>
                </v:textbox>
                <w10:wrap type="square" anchorx="margin"/>
              </v:shape>
            </w:pict>
          </mc:Fallback>
        </mc:AlternateContent>
      </w:r>
      <w:r w:rsidRPr="00B01A77">
        <w:rPr>
          <w:rFonts w:asciiTheme="majorBidi" w:hAnsiTheme="majorBidi" w:cstheme="majorBidi"/>
          <w:noProof/>
          <w:sz w:val="24"/>
          <w:szCs w:val="24"/>
        </w:rPr>
        <w:drawing>
          <wp:anchor distT="0" distB="0" distL="114300" distR="114300" simplePos="0" relativeHeight="251660288" behindDoc="0" locked="0" layoutInCell="1" allowOverlap="1" wp14:anchorId="562F74FC" wp14:editId="75A7D34A">
            <wp:simplePos x="0" y="0"/>
            <wp:positionH relativeFrom="margin">
              <wp:align>left</wp:align>
            </wp:positionH>
            <wp:positionV relativeFrom="paragraph">
              <wp:posOffset>698500</wp:posOffset>
            </wp:positionV>
            <wp:extent cx="2810510" cy="1059180"/>
            <wp:effectExtent l="0" t="0" r="8890" b="7620"/>
            <wp:wrapSquare wrapText="bothSides"/>
            <wp:docPr id="3" name="Picture 3" descr="Image result for targe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compa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51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A32" w:rsidRPr="00B01A77">
        <w:rPr>
          <w:rFonts w:asciiTheme="majorBidi" w:hAnsiTheme="majorBidi" w:cstheme="majorBidi"/>
          <w:sz w:val="24"/>
          <w:szCs w:val="24"/>
        </w:rPr>
        <w:t>T</w:t>
      </w:r>
      <w:r w:rsidR="00773E60" w:rsidRPr="00B01A77">
        <w:rPr>
          <w:rFonts w:asciiTheme="majorBidi" w:hAnsiTheme="majorBidi" w:cstheme="majorBidi"/>
          <w:sz w:val="24"/>
          <w:szCs w:val="24"/>
        </w:rPr>
        <w:t>he merchandising, otherwise termed as the ‘</w:t>
      </w:r>
      <w:r w:rsidR="00F70E87" w:rsidRPr="00B01A77">
        <w:rPr>
          <w:rFonts w:asciiTheme="majorBidi" w:hAnsiTheme="majorBidi" w:cstheme="majorBidi"/>
          <w:sz w:val="24"/>
          <w:szCs w:val="24"/>
        </w:rPr>
        <w:t>retail</w:t>
      </w:r>
      <w:r w:rsidR="00773E60" w:rsidRPr="00B01A77">
        <w:rPr>
          <w:rFonts w:asciiTheme="majorBidi" w:hAnsiTheme="majorBidi" w:cstheme="majorBidi"/>
          <w:sz w:val="24"/>
          <w:szCs w:val="24"/>
        </w:rPr>
        <w:t>’</w:t>
      </w:r>
      <w:r w:rsidR="00F70E87" w:rsidRPr="00B01A77">
        <w:rPr>
          <w:rFonts w:asciiTheme="majorBidi" w:hAnsiTheme="majorBidi" w:cstheme="majorBidi"/>
          <w:sz w:val="24"/>
          <w:szCs w:val="24"/>
        </w:rPr>
        <w:t xml:space="preserve"> industry</w:t>
      </w:r>
      <w:r w:rsidR="00773E60" w:rsidRPr="00B01A77">
        <w:rPr>
          <w:rFonts w:asciiTheme="majorBidi" w:hAnsiTheme="majorBidi" w:cstheme="majorBidi"/>
          <w:sz w:val="24"/>
          <w:szCs w:val="24"/>
        </w:rPr>
        <w:t>,</w:t>
      </w:r>
      <w:r w:rsidR="00F70E87" w:rsidRPr="00B01A77">
        <w:rPr>
          <w:rFonts w:asciiTheme="majorBidi" w:hAnsiTheme="majorBidi" w:cstheme="majorBidi"/>
          <w:sz w:val="24"/>
          <w:szCs w:val="24"/>
        </w:rPr>
        <w:t xml:space="preserve"> is one that has</w:t>
      </w:r>
      <w:r w:rsidR="00522E9C" w:rsidRPr="00B01A77">
        <w:rPr>
          <w:rFonts w:asciiTheme="majorBidi" w:hAnsiTheme="majorBidi" w:cstheme="majorBidi"/>
          <w:sz w:val="24"/>
          <w:szCs w:val="24"/>
        </w:rPr>
        <w:t xml:space="preserve"> always been considered an epitome of success for start-up</w:t>
      </w:r>
      <w:r w:rsidR="00E01D69" w:rsidRPr="00B01A77">
        <w:rPr>
          <w:rFonts w:asciiTheme="majorBidi" w:hAnsiTheme="majorBidi" w:cstheme="majorBidi"/>
          <w:sz w:val="24"/>
          <w:szCs w:val="24"/>
        </w:rPr>
        <w:t xml:space="preserve"> and ongoing</w:t>
      </w:r>
      <w:r w:rsidR="00522E9C" w:rsidRPr="00B01A77">
        <w:rPr>
          <w:rFonts w:asciiTheme="majorBidi" w:hAnsiTheme="majorBidi" w:cstheme="majorBidi"/>
          <w:sz w:val="24"/>
          <w:szCs w:val="24"/>
        </w:rPr>
        <w:t xml:space="preserve"> businesses to venture into. Firms consider becoming a part of this ever growing diligence to enhance their performance, and to up their repu</w:t>
      </w:r>
      <w:r w:rsidR="00E007A9" w:rsidRPr="00B01A77">
        <w:rPr>
          <w:rFonts w:asciiTheme="majorBidi" w:hAnsiTheme="majorBidi" w:cstheme="majorBidi"/>
          <w:sz w:val="24"/>
          <w:szCs w:val="24"/>
        </w:rPr>
        <w:t xml:space="preserve">tation; and thus, in the retailing </w:t>
      </w:r>
      <w:r w:rsidR="003F6DBA" w:rsidRPr="00B01A77">
        <w:rPr>
          <w:rFonts w:asciiTheme="majorBidi" w:hAnsiTheme="majorBidi" w:cstheme="majorBidi"/>
          <w:sz w:val="24"/>
          <w:szCs w:val="24"/>
        </w:rPr>
        <w:t>industry</w:t>
      </w:r>
      <w:r w:rsidR="00E007A9" w:rsidRPr="00B01A77">
        <w:rPr>
          <w:rFonts w:asciiTheme="majorBidi" w:hAnsiTheme="majorBidi" w:cstheme="majorBidi"/>
          <w:sz w:val="24"/>
          <w:szCs w:val="24"/>
        </w:rPr>
        <w:t>, businesses aim to sell services and goods to consumers and customers.</w:t>
      </w:r>
      <w:r w:rsidR="00B835AB" w:rsidRPr="00B01A77">
        <w:rPr>
          <w:rStyle w:val="FootnoteReference"/>
          <w:rFonts w:asciiTheme="majorBidi" w:hAnsiTheme="majorBidi" w:cstheme="majorBidi"/>
          <w:sz w:val="24"/>
          <w:szCs w:val="24"/>
        </w:rPr>
        <w:footnoteReference w:id="1"/>
      </w:r>
      <w:r w:rsidR="00E007A9" w:rsidRPr="00B01A77">
        <w:rPr>
          <w:rFonts w:asciiTheme="majorBidi" w:hAnsiTheme="majorBidi" w:cstheme="majorBidi"/>
          <w:sz w:val="24"/>
          <w:szCs w:val="24"/>
        </w:rPr>
        <w:t xml:space="preserve"> </w:t>
      </w:r>
      <w:r w:rsidR="00522E9C" w:rsidRPr="00B01A77">
        <w:rPr>
          <w:rFonts w:asciiTheme="majorBidi" w:hAnsiTheme="majorBidi" w:cstheme="majorBidi"/>
          <w:sz w:val="24"/>
          <w:szCs w:val="24"/>
        </w:rPr>
        <w:t xml:space="preserve">Furthermore, the merchandising industry’s </w:t>
      </w:r>
      <w:r w:rsidR="008E3A8B" w:rsidRPr="00B01A77">
        <w:rPr>
          <w:rFonts w:asciiTheme="majorBidi" w:hAnsiTheme="majorBidi" w:cstheme="majorBidi"/>
          <w:sz w:val="24"/>
          <w:szCs w:val="24"/>
        </w:rPr>
        <w:t xml:space="preserve">performance has </w:t>
      </w:r>
      <w:r w:rsidR="007E35DC" w:rsidRPr="00B01A77">
        <w:rPr>
          <w:rFonts w:asciiTheme="majorBidi" w:hAnsiTheme="majorBidi" w:cstheme="majorBidi"/>
          <w:sz w:val="24"/>
          <w:szCs w:val="24"/>
        </w:rPr>
        <w:t>furthered</w:t>
      </w:r>
      <w:r w:rsidR="008E3A8B" w:rsidRPr="00B01A77">
        <w:rPr>
          <w:rFonts w:asciiTheme="majorBidi" w:hAnsiTheme="majorBidi" w:cstheme="majorBidi"/>
          <w:sz w:val="24"/>
          <w:szCs w:val="24"/>
        </w:rPr>
        <w:t xml:space="preserve"> </w:t>
      </w:r>
      <w:r w:rsidR="00F70E87" w:rsidRPr="00B01A77">
        <w:rPr>
          <w:rFonts w:asciiTheme="majorBidi" w:hAnsiTheme="majorBidi" w:cstheme="majorBidi"/>
          <w:sz w:val="24"/>
          <w:szCs w:val="24"/>
        </w:rPr>
        <w:t>in</w:t>
      </w:r>
      <w:r w:rsidR="008E3A8B" w:rsidRPr="00B01A77">
        <w:rPr>
          <w:rFonts w:asciiTheme="majorBidi" w:hAnsiTheme="majorBidi" w:cstheme="majorBidi"/>
          <w:sz w:val="24"/>
          <w:szCs w:val="24"/>
        </w:rPr>
        <w:t xml:space="preserve"> </w:t>
      </w:r>
      <w:r w:rsidR="00F70E87" w:rsidRPr="00B01A77">
        <w:rPr>
          <w:rFonts w:asciiTheme="majorBidi" w:hAnsiTheme="majorBidi" w:cstheme="majorBidi"/>
          <w:sz w:val="24"/>
          <w:szCs w:val="24"/>
        </w:rPr>
        <w:t>the past few years</w:t>
      </w:r>
      <w:r w:rsidR="008E3A8B" w:rsidRPr="00B01A77">
        <w:rPr>
          <w:rFonts w:asciiTheme="majorBidi" w:hAnsiTheme="majorBidi" w:cstheme="majorBidi"/>
          <w:sz w:val="24"/>
          <w:szCs w:val="24"/>
        </w:rPr>
        <w:t xml:space="preserve">. </w:t>
      </w:r>
      <w:r w:rsidR="00E007A9" w:rsidRPr="00B01A77">
        <w:rPr>
          <w:rFonts w:asciiTheme="majorBidi" w:hAnsiTheme="majorBidi" w:cstheme="majorBidi"/>
          <w:sz w:val="24"/>
          <w:szCs w:val="24"/>
        </w:rPr>
        <w:t xml:space="preserve">It had </w:t>
      </w:r>
      <w:r w:rsidR="008E3A8B" w:rsidRPr="00B01A77">
        <w:rPr>
          <w:rFonts w:asciiTheme="majorBidi" w:hAnsiTheme="majorBidi" w:cstheme="majorBidi"/>
          <w:sz w:val="24"/>
          <w:szCs w:val="24"/>
        </w:rPr>
        <w:t xml:space="preserve">been </w:t>
      </w:r>
      <w:r w:rsidR="00D13938" w:rsidRPr="00B01A77">
        <w:rPr>
          <w:rFonts w:asciiTheme="majorBidi" w:hAnsiTheme="majorBidi" w:cstheme="majorBidi"/>
          <w:sz w:val="24"/>
          <w:szCs w:val="24"/>
        </w:rPr>
        <w:t>valued at $23.46 U.S tr</w:t>
      </w:r>
      <w:r w:rsidR="008E3A8B" w:rsidRPr="00B01A77">
        <w:rPr>
          <w:rFonts w:asciiTheme="majorBidi" w:hAnsiTheme="majorBidi" w:cstheme="majorBidi"/>
          <w:sz w:val="24"/>
          <w:szCs w:val="24"/>
        </w:rPr>
        <w:t xml:space="preserve">illion </w:t>
      </w:r>
      <w:r w:rsidR="00E007A9" w:rsidRPr="00B01A77">
        <w:rPr>
          <w:rFonts w:asciiTheme="majorBidi" w:hAnsiTheme="majorBidi" w:cstheme="majorBidi"/>
          <w:sz w:val="24"/>
          <w:szCs w:val="24"/>
        </w:rPr>
        <w:t xml:space="preserve">in 2017, and with new trends surpassing the prior ones, the merchandising industry is expected to grow to a staggering $31.4 </w:t>
      </w:r>
      <w:r w:rsidR="00D13938" w:rsidRPr="00B01A77">
        <w:rPr>
          <w:rFonts w:asciiTheme="majorBidi" w:hAnsiTheme="majorBidi" w:cstheme="majorBidi"/>
          <w:sz w:val="24"/>
          <w:szCs w:val="24"/>
        </w:rPr>
        <w:t>U.S tr</w:t>
      </w:r>
      <w:r w:rsidR="00E007A9" w:rsidRPr="00B01A77">
        <w:rPr>
          <w:rFonts w:asciiTheme="majorBidi" w:hAnsiTheme="majorBidi" w:cstheme="majorBidi"/>
          <w:sz w:val="24"/>
          <w:szCs w:val="24"/>
        </w:rPr>
        <w:t>illion in 2023.</w:t>
      </w:r>
      <w:r w:rsidR="00E007A9" w:rsidRPr="00B01A77">
        <w:rPr>
          <w:rStyle w:val="FootnoteReference"/>
          <w:rFonts w:asciiTheme="majorBidi" w:hAnsiTheme="majorBidi" w:cstheme="majorBidi"/>
          <w:sz w:val="24"/>
          <w:szCs w:val="24"/>
        </w:rPr>
        <w:t xml:space="preserve"> </w:t>
      </w:r>
      <w:r w:rsidR="00E007A9" w:rsidRPr="00B01A77">
        <w:rPr>
          <w:rStyle w:val="FootnoteReference"/>
          <w:rFonts w:asciiTheme="majorBidi" w:hAnsiTheme="majorBidi" w:cstheme="majorBidi"/>
          <w:sz w:val="24"/>
          <w:szCs w:val="24"/>
        </w:rPr>
        <w:footnoteReference w:id="2"/>
      </w:r>
      <w:r w:rsidR="00E007A9" w:rsidRPr="00B01A77">
        <w:rPr>
          <w:rFonts w:asciiTheme="majorBidi" w:hAnsiTheme="majorBidi" w:cstheme="majorBidi"/>
          <w:sz w:val="24"/>
          <w:szCs w:val="24"/>
        </w:rPr>
        <w:t xml:space="preserve"> </w:t>
      </w:r>
      <w:r w:rsidR="00211C66" w:rsidRPr="00B01A77">
        <w:rPr>
          <w:rFonts w:asciiTheme="majorBidi" w:hAnsiTheme="majorBidi" w:cstheme="majorBidi"/>
          <w:sz w:val="24"/>
          <w:szCs w:val="24"/>
        </w:rPr>
        <w:t xml:space="preserve">Noting such a successful performance of an ever growing industry, </w:t>
      </w:r>
      <w:r w:rsidR="000C1DDC" w:rsidRPr="00B01A77">
        <w:rPr>
          <w:rFonts w:asciiTheme="majorBidi" w:hAnsiTheme="majorBidi" w:cstheme="majorBidi"/>
          <w:sz w:val="24"/>
          <w:szCs w:val="24"/>
        </w:rPr>
        <w:t xml:space="preserve">two companies that have performed successfully </w:t>
      </w:r>
      <w:r w:rsidR="00E007A9" w:rsidRPr="00B01A77">
        <w:rPr>
          <w:rFonts w:asciiTheme="majorBidi" w:hAnsiTheme="majorBidi" w:cstheme="majorBidi"/>
          <w:sz w:val="24"/>
          <w:szCs w:val="24"/>
        </w:rPr>
        <w:t xml:space="preserve">in retail </w:t>
      </w:r>
      <w:r w:rsidR="000C1DDC" w:rsidRPr="00B01A77">
        <w:rPr>
          <w:rFonts w:asciiTheme="majorBidi" w:hAnsiTheme="majorBidi" w:cstheme="majorBidi"/>
          <w:sz w:val="24"/>
          <w:szCs w:val="24"/>
        </w:rPr>
        <w:t xml:space="preserve">are Target and Dollar Company. </w:t>
      </w:r>
      <w:r w:rsidR="00B835AB" w:rsidRPr="00B01A77">
        <w:rPr>
          <w:rFonts w:asciiTheme="majorBidi" w:hAnsiTheme="majorBidi" w:cstheme="majorBidi"/>
          <w:sz w:val="24"/>
          <w:szCs w:val="24"/>
        </w:rPr>
        <w:t xml:space="preserve">Founded in 1902, Target </w:t>
      </w:r>
      <w:r w:rsidR="00E007A9" w:rsidRPr="00B01A77">
        <w:rPr>
          <w:rFonts w:asciiTheme="majorBidi" w:hAnsiTheme="majorBidi" w:cstheme="majorBidi"/>
          <w:sz w:val="24"/>
          <w:szCs w:val="24"/>
        </w:rPr>
        <w:t xml:space="preserve">is an American merchandise company whose </w:t>
      </w:r>
      <w:r w:rsidR="008E095D" w:rsidRPr="00B01A77">
        <w:rPr>
          <w:rFonts w:asciiTheme="majorBidi" w:hAnsiTheme="majorBidi" w:cstheme="majorBidi"/>
          <w:sz w:val="24"/>
          <w:szCs w:val="24"/>
        </w:rPr>
        <w:t>international</w:t>
      </w:r>
      <w:r w:rsidR="00E007A9" w:rsidRPr="00B01A77">
        <w:rPr>
          <w:rFonts w:asciiTheme="majorBidi" w:hAnsiTheme="majorBidi" w:cstheme="majorBidi"/>
          <w:sz w:val="24"/>
          <w:szCs w:val="24"/>
        </w:rPr>
        <w:t xml:space="preserve"> reputation has led to </w:t>
      </w:r>
      <w:r w:rsidR="006F2F6F" w:rsidRPr="00B01A77">
        <w:rPr>
          <w:rFonts w:asciiTheme="majorBidi" w:hAnsiTheme="majorBidi" w:cstheme="majorBidi"/>
          <w:sz w:val="24"/>
          <w:szCs w:val="24"/>
        </w:rPr>
        <w:t>a change in</w:t>
      </w:r>
      <w:r w:rsidR="00E007A9" w:rsidRPr="00B01A77">
        <w:rPr>
          <w:rFonts w:asciiTheme="majorBidi" w:hAnsiTheme="majorBidi" w:cstheme="majorBidi"/>
          <w:sz w:val="24"/>
          <w:szCs w:val="24"/>
        </w:rPr>
        <w:t xml:space="preserve"> the global phenomena of </w:t>
      </w:r>
      <w:r w:rsidR="006F2F6F" w:rsidRPr="00B01A77">
        <w:rPr>
          <w:rFonts w:asciiTheme="majorBidi" w:hAnsiTheme="majorBidi" w:cstheme="majorBidi"/>
          <w:sz w:val="24"/>
          <w:szCs w:val="24"/>
        </w:rPr>
        <w:t>retailing</w:t>
      </w:r>
      <w:r w:rsidR="002C5C8A" w:rsidRPr="00B01A77">
        <w:rPr>
          <w:rFonts w:asciiTheme="majorBidi" w:hAnsiTheme="majorBidi" w:cstheme="majorBidi"/>
          <w:sz w:val="24"/>
          <w:szCs w:val="24"/>
        </w:rPr>
        <w:t>, and thus</w:t>
      </w:r>
      <w:r w:rsidR="00E327A7" w:rsidRPr="00B01A77">
        <w:rPr>
          <w:rFonts w:asciiTheme="majorBidi" w:hAnsiTheme="majorBidi" w:cstheme="majorBidi"/>
          <w:sz w:val="24"/>
          <w:szCs w:val="24"/>
        </w:rPr>
        <w:t>,</w:t>
      </w:r>
      <w:r w:rsidR="002C5C8A" w:rsidRPr="00B01A77">
        <w:rPr>
          <w:rFonts w:asciiTheme="majorBidi" w:hAnsiTheme="majorBidi" w:cstheme="majorBidi"/>
          <w:sz w:val="24"/>
          <w:szCs w:val="24"/>
        </w:rPr>
        <w:t xml:space="preserve"> its estimated revenue (by 17 analysts) is set to grow by 4.7% in 2019, with an average </w:t>
      </w:r>
      <w:r w:rsidR="00E327A7" w:rsidRPr="00B01A77">
        <w:rPr>
          <w:rFonts w:asciiTheme="majorBidi" w:hAnsiTheme="majorBidi" w:cstheme="majorBidi"/>
          <w:sz w:val="24"/>
          <w:szCs w:val="24"/>
        </w:rPr>
        <w:t xml:space="preserve">estimated revenue </w:t>
      </w:r>
      <w:r w:rsidR="002C5C8A" w:rsidRPr="00B01A77">
        <w:rPr>
          <w:rFonts w:asciiTheme="majorBidi" w:hAnsiTheme="majorBidi" w:cstheme="majorBidi"/>
          <w:sz w:val="24"/>
          <w:szCs w:val="24"/>
        </w:rPr>
        <w:t>being $75.29 billion</w:t>
      </w:r>
      <w:r w:rsidR="00211C66" w:rsidRPr="00B01A77">
        <w:rPr>
          <w:rFonts w:asciiTheme="majorBidi" w:hAnsiTheme="majorBidi" w:cstheme="majorBidi"/>
          <w:sz w:val="24"/>
          <w:szCs w:val="24"/>
        </w:rPr>
        <w:t xml:space="preserve"> (as of 2019)</w:t>
      </w:r>
      <w:r w:rsidR="00B835AB" w:rsidRPr="00B01A77">
        <w:rPr>
          <w:rFonts w:asciiTheme="majorBidi" w:hAnsiTheme="majorBidi" w:cstheme="majorBidi"/>
          <w:sz w:val="24"/>
          <w:szCs w:val="24"/>
        </w:rPr>
        <w:t>.</w:t>
      </w:r>
      <w:r w:rsidR="002C5C8A" w:rsidRPr="00B01A77">
        <w:rPr>
          <w:rFonts w:asciiTheme="majorBidi" w:hAnsiTheme="majorBidi" w:cstheme="majorBidi"/>
          <w:sz w:val="24"/>
          <w:szCs w:val="24"/>
        </w:rPr>
        <w:t xml:space="preserve"> Its growth within the industry is set to peak by 14.4% in 2019.</w:t>
      </w:r>
      <w:r w:rsidR="002C5C8A" w:rsidRPr="00B01A77">
        <w:rPr>
          <w:rStyle w:val="FootnoteReference"/>
          <w:rFonts w:asciiTheme="majorBidi" w:hAnsiTheme="majorBidi" w:cstheme="majorBidi"/>
          <w:sz w:val="24"/>
          <w:szCs w:val="24"/>
        </w:rPr>
        <w:footnoteReference w:id="3"/>
      </w:r>
      <w:r w:rsidR="00B835AB" w:rsidRPr="00B01A77">
        <w:rPr>
          <w:rFonts w:asciiTheme="majorBidi" w:hAnsiTheme="majorBidi" w:cstheme="majorBidi"/>
          <w:sz w:val="24"/>
          <w:szCs w:val="24"/>
        </w:rPr>
        <w:t xml:space="preserve"> </w:t>
      </w:r>
      <w:r w:rsidR="002C5C8A" w:rsidRPr="00B01A77">
        <w:rPr>
          <w:rFonts w:asciiTheme="majorBidi" w:hAnsiTheme="majorBidi" w:cstheme="majorBidi"/>
          <w:sz w:val="24"/>
          <w:szCs w:val="24"/>
        </w:rPr>
        <w:t xml:space="preserve">On the other hand, </w:t>
      </w:r>
      <w:r w:rsidR="00B835AB" w:rsidRPr="00B01A77">
        <w:rPr>
          <w:rFonts w:asciiTheme="majorBidi" w:hAnsiTheme="majorBidi" w:cstheme="majorBidi"/>
          <w:sz w:val="24"/>
          <w:szCs w:val="24"/>
        </w:rPr>
        <w:t xml:space="preserve">Dollar </w:t>
      </w:r>
      <w:r w:rsidR="00FC11F5" w:rsidRPr="00B01A77">
        <w:rPr>
          <w:rFonts w:asciiTheme="majorBidi" w:hAnsiTheme="majorBidi" w:cstheme="majorBidi"/>
          <w:sz w:val="24"/>
          <w:szCs w:val="24"/>
        </w:rPr>
        <w:t>General</w:t>
      </w:r>
      <w:r w:rsidR="00B835AB" w:rsidRPr="00B01A77">
        <w:rPr>
          <w:rFonts w:asciiTheme="majorBidi" w:hAnsiTheme="majorBidi" w:cstheme="majorBidi"/>
          <w:sz w:val="24"/>
          <w:szCs w:val="24"/>
        </w:rPr>
        <w:t xml:space="preserve">, </w:t>
      </w:r>
      <w:r w:rsidR="00FC11F5" w:rsidRPr="00B01A77">
        <w:rPr>
          <w:rFonts w:asciiTheme="majorBidi" w:hAnsiTheme="majorBidi" w:cstheme="majorBidi"/>
          <w:sz w:val="24"/>
          <w:szCs w:val="24"/>
        </w:rPr>
        <w:t>founded in 193</w:t>
      </w:r>
      <w:r w:rsidR="00B835AB" w:rsidRPr="00B01A77">
        <w:rPr>
          <w:rFonts w:asciiTheme="majorBidi" w:hAnsiTheme="majorBidi" w:cstheme="majorBidi"/>
          <w:sz w:val="24"/>
          <w:szCs w:val="24"/>
        </w:rPr>
        <w:t>9</w:t>
      </w:r>
      <w:r w:rsidR="00FC11F5" w:rsidRPr="00B01A77">
        <w:rPr>
          <w:rFonts w:asciiTheme="majorBidi" w:hAnsiTheme="majorBidi" w:cstheme="majorBidi"/>
          <w:sz w:val="24"/>
          <w:szCs w:val="24"/>
        </w:rPr>
        <w:t xml:space="preserve"> and operating </w:t>
      </w:r>
      <w:r w:rsidR="00FC11F5" w:rsidRPr="00B01A77">
        <w:rPr>
          <w:rFonts w:asciiTheme="majorBidi" w:hAnsiTheme="majorBidi" w:cstheme="majorBidi"/>
          <w:sz w:val="24"/>
          <w:szCs w:val="24"/>
        </w:rPr>
        <w:lastRenderedPageBreak/>
        <w:t>over 15,000 stores within the USA region</w:t>
      </w:r>
      <w:r w:rsidR="00B835AB" w:rsidRPr="00B01A77">
        <w:rPr>
          <w:rFonts w:asciiTheme="majorBidi" w:hAnsiTheme="majorBidi" w:cstheme="majorBidi"/>
          <w:sz w:val="24"/>
          <w:szCs w:val="24"/>
        </w:rPr>
        <w:t xml:space="preserve">, is another company that sets the stakes high for retailing in North America. </w:t>
      </w:r>
      <w:r w:rsidR="00B9216C" w:rsidRPr="00B01A77">
        <w:rPr>
          <w:rFonts w:asciiTheme="majorBidi" w:hAnsiTheme="majorBidi" w:cstheme="majorBidi"/>
          <w:sz w:val="24"/>
          <w:szCs w:val="24"/>
        </w:rPr>
        <w:t xml:space="preserve">Sales Revenue of </w:t>
      </w:r>
      <w:r w:rsidR="005F54F4" w:rsidRPr="00B01A77">
        <w:rPr>
          <w:rFonts w:asciiTheme="majorBidi" w:hAnsiTheme="majorBidi" w:cstheme="majorBidi"/>
          <w:sz w:val="24"/>
          <w:szCs w:val="24"/>
        </w:rPr>
        <w:t xml:space="preserve">DG is expected to grow by 8.9% </w:t>
      </w:r>
      <w:r w:rsidR="00F70E87" w:rsidRPr="00B01A77">
        <w:rPr>
          <w:rFonts w:asciiTheme="majorBidi" w:hAnsiTheme="majorBidi" w:cstheme="majorBidi"/>
          <w:sz w:val="24"/>
          <w:szCs w:val="24"/>
        </w:rPr>
        <w:t>in 2019 (</w:t>
      </w:r>
      <w:r w:rsidR="00B9216C" w:rsidRPr="00B01A77">
        <w:rPr>
          <w:rFonts w:asciiTheme="majorBidi" w:hAnsiTheme="majorBidi" w:cstheme="majorBidi"/>
          <w:sz w:val="24"/>
          <w:szCs w:val="24"/>
        </w:rPr>
        <w:t xml:space="preserve">as </w:t>
      </w:r>
      <w:r w:rsidR="00406F00" w:rsidRPr="00B01A77">
        <w:rPr>
          <w:rFonts w:asciiTheme="majorBidi" w:hAnsiTheme="majorBidi" w:cstheme="majorBidi"/>
          <w:noProof/>
          <w:sz w:val="24"/>
          <w:szCs w:val="24"/>
        </w:rPr>
        <w:drawing>
          <wp:anchor distT="0" distB="0" distL="114300" distR="114300" simplePos="0" relativeHeight="251663360" behindDoc="0" locked="0" layoutInCell="1" allowOverlap="1" wp14:anchorId="5E9AC382" wp14:editId="724B4743">
            <wp:simplePos x="0" y="0"/>
            <wp:positionH relativeFrom="margin">
              <wp:align>right</wp:align>
            </wp:positionH>
            <wp:positionV relativeFrom="paragraph">
              <wp:posOffset>0</wp:posOffset>
            </wp:positionV>
            <wp:extent cx="3382645" cy="1905000"/>
            <wp:effectExtent l="0" t="0" r="8255" b="0"/>
            <wp:wrapSquare wrapText="bothSides"/>
            <wp:docPr id="5" name="Picture 5" descr="Image result for dollar general company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llar general company suc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264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6C" w:rsidRPr="00B01A77">
        <w:rPr>
          <w:rFonts w:asciiTheme="majorBidi" w:hAnsiTheme="majorBidi" w:cstheme="majorBidi"/>
          <w:sz w:val="24"/>
          <w:szCs w:val="24"/>
        </w:rPr>
        <w:t>per 27 analysts), and within the industry DG is ex</w:t>
      </w:r>
      <w:r w:rsidR="00211C66" w:rsidRPr="00B01A77">
        <w:rPr>
          <w:rFonts w:asciiTheme="majorBidi" w:hAnsiTheme="majorBidi" w:cstheme="majorBidi"/>
          <w:sz w:val="24"/>
          <w:szCs w:val="24"/>
        </w:rPr>
        <w:t>pected to grow by 33.7% in 2019</w:t>
      </w:r>
      <w:r w:rsidR="006A5731" w:rsidRPr="00B01A77">
        <w:rPr>
          <w:rStyle w:val="FootnoteReference"/>
          <w:rFonts w:asciiTheme="majorBidi" w:hAnsiTheme="majorBidi" w:cstheme="majorBidi"/>
          <w:sz w:val="24"/>
          <w:szCs w:val="24"/>
        </w:rPr>
        <w:footnoteReference w:id="4"/>
      </w:r>
      <w:r w:rsidR="00211C66" w:rsidRPr="00B01A77">
        <w:rPr>
          <w:rFonts w:asciiTheme="majorBidi" w:hAnsiTheme="majorBidi" w:cstheme="majorBidi"/>
          <w:sz w:val="24"/>
          <w:szCs w:val="24"/>
        </w:rPr>
        <w:t xml:space="preserve">, Achieving an average revenue estimate of $25.56 billion in the year to </w:t>
      </w:r>
      <w:r w:rsidR="00406F00" w:rsidRPr="00B01A77">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1FB3ECAF" wp14:editId="548BB9D5">
                <wp:simplePos x="0" y="0"/>
                <wp:positionH relativeFrom="margin">
                  <wp:align>right</wp:align>
                </wp:positionH>
                <wp:positionV relativeFrom="paragraph">
                  <wp:posOffset>1988820</wp:posOffset>
                </wp:positionV>
                <wp:extent cx="3368040" cy="635"/>
                <wp:effectExtent l="0" t="0" r="22860" b="19050"/>
                <wp:wrapSquare wrapText="bothSides"/>
                <wp:docPr id="6" name="Text Box 6"/>
                <wp:cNvGraphicFramePr/>
                <a:graphic xmlns:a="http://schemas.openxmlformats.org/drawingml/2006/main">
                  <a:graphicData uri="http://schemas.microsoft.com/office/word/2010/wordprocessingShape">
                    <wps:wsp>
                      <wps:cNvSpPr txBox="1"/>
                      <wps:spPr>
                        <a:xfrm>
                          <a:off x="0" y="0"/>
                          <a:ext cx="3368040" cy="635"/>
                        </a:xfrm>
                        <a:prstGeom prst="rect">
                          <a:avLst/>
                        </a:prstGeom>
                        <a:solidFill>
                          <a:prstClr val="white"/>
                        </a:solidFill>
                        <a:ln>
                          <a:solidFill>
                            <a:srgbClr val="FF0000"/>
                          </a:solidFill>
                        </a:ln>
                        <a:effectLst/>
                      </wps:spPr>
                      <wps:txbx>
                        <w:txbxContent>
                          <w:p w:rsidR="007D1D9A" w:rsidRPr="00406F00" w:rsidRDefault="007D1D9A" w:rsidP="00406F00">
                            <w:pPr>
                              <w:pStyle w:val="Caption"/>
                              <w:jc w:val="center"/>
                              <w:rPr>
                                <w:i w:val="0"/>
                                <w:iCs w:val="0"/>
                                <w:noProof/>
                              </w:rPr>
                            </w:pPr>
                            <w:r w:rsidRPr="00406F00">
                              <w:rPr>
                                <w:i w:val="0"/>
                                <w:iCs w:val="0"/>
                              </w:rPr>
                              <w:t xml:space="preserve">Figure </w:t>
                            </w:r>
                            <w:r w:rsidRPr="00406F00">
                              <w:rPr>
                                <w:i w:val="0"/>
                                <w:iCs w:val="0"/>
                              </w:rPr>
                              <w:fldChar w:fldCharType="begin"/>
                            </w:r>
                            <w:r w:rsidRPr="00406F00">
                              <w:rPr>
                                <w:i w:val="0"/>
                                <w:iCs w:val="0"/>
                              </w:rPr>
                              <w:instrText xml:space="preserve"> SEQ Figure \* ARABIC </w:instrText>
                            </w:r>
                            <w:r w:rsidRPr="00406F00">
                              <w:rPr>
                                <w:i w:val="0"/>
                                <w:iCs w:val="0"/>
                              </w:rPr>
                              <w:fldChar w:fldCharType="separate"/>
                            </w:r>
                            <w:r w:rsidRPr="00406F00">
                              <w:rPr>
                                <w:i w:val="0"/>
                                <w:iCs w:val="0"/>
                                <w:noProof/>
                              </w:rPr>
                              <w:t>2</w:t>
                            </w:r>
                            <w:r w:rsidRPr="00406F00">
                              <w:rPr>
                                <w:i w:val="0"/>
                                <w:iCs w:val="0"/>
                              </w:rPr>
                              <w:fldChar w:fldCharType="end"/>
                            </w:r>
                            <w:r w:rsidRPr="00406F00">
                              <w:rPr>
                                <w:i w:val="0"/>
                                <w:iCs w:val="0"/>
                              </w:rPr>
                              <w:t xml:space="preserve"> - Dollar General, appealing to everyone and for everyone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B3ECAF" id="Text Box 6" o:spid="_x0000_s1028" type="#_x0000_t202" style="position:absolute;left:0;text-align:left;margin-left:214pt;margin-top:156.6pt;width:265.2pt;height:.0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" strokecolor="red">
                <v:textbox style="mso-fit-shape-to-text:t" inset="0,0,0,0">
                  <w:txbxContent>
                    <w:p w:rsidR="007D1D9A" w:rsidRPr="00406F00" w:rsidRDefault="007D1D9A" w:rsidP="00406F00">
                      <w:pPr>
                        <w:pStyle w:val="Caption"/>
                        <w:jc w:val="center"/>
                        <w:rPr>
                          <w:i w:val="0"/>
                          <w:iCs w:val="0"/>
                          <w:noProof/>
                        </w:rPr>
                      </w:pPr>
                      <w:r w:rsidRPr="00406F00">
                        <w:rPr>
                          <w:i w:val="0"/>
                          <w:iCs w:val="0"/>
                        </w:rPr>
                        <w:t xml:space="preserve">Figure </w:t>
                      </w:r>
                      <w:r w:rsidRPr="00406F00">
                        <w:rPr>
                          <w:i w:val="0"/>
                          <w:iCs w:val="0"/>
                        </w:rPr>
                        <w:fldChar w:fldCharType="begin"/>
                      </w:r>
                      <w:r w:rsidRPr="00406F00">
                        <w:rPr>
                          <w:i w:val="0"/>
                          <w:iCs w:val="0"/>
                        </w:rPr>
                        <w:instrText xml:space="preserve"> SEQ Figure \* ARABIC </w:instrText>
                      </w:r>
                      <w:r w:rsidRPr="00406F00">
                        <w:rPr>
                          <w:i w:val="0"/>
                          <w:iCs w:val="0"/>
                        </w:rPr>
                        <w:fldChar w:fldCharType="separate"/>
                      </w:r>
                      <w:r w:rsidRPr="00406F00">
                        <w:rPr>
                          <w:i w:val="0"/>
                          <w:iCs w:val="0"/>
                          <w:noProof/>
                        </w:rPr>
                        <w:t>2</w:t>
                      </w:r>
                      <w:r w:rsidRPr="00406F00">
                        <w:rPr>
                          <w:i w:val="0"/>
                          <w:iCs w:val="0"/>
                        </w:rPr>
                        <w:fldChar w:fldCharType="end"/>
                      </w:r>
                      <w:r w:rsidRPr="00406F00">
                        <w:rPr>
                          <w:i w:val="0"/>
                          <w:iCs w:val="0"/>
                        </w:rPr>
                        <w:t xml:space="preserve"> - Dollar General, appealing to everyone and for everyone</w:t>
                      </w:r>
                    </w:p>
                  </w:txbxContent>
                </v:textbox>
                <w10:wrap type="square" anchorx="margin"/>
              </v:shape>
            </w:pict>
          </mc:Fallback>
        </mc:AlternateContent>
      </w:r>
      <w:r w:rsidR="00211C66" w:rsidRPr="00B01A77">
        <w:rPr>
          <w:rFonts w:asciiTheme="majorBidi" w:hAnsiTheme="majorBidi" w:cstheme="majorBidi"/>
          <w:sz w:val="24"/>
          <w:szCs w:val="24"/>
        </w:rPr>
        <w:t xml:space="preserve">come. </w:t>
      </w:r>
      <w:r w:rsidR="00C60E6E" w:rsidRPr="00B01A77">
        <w:rPr>
          <w:rFonts w:asciiTheme="majorBidi" w:hAnsiTheme="majorBidi" w:cstheme="majorBidi"/>
          <w:sz w:val="24"/>
          <w:szCs w:val="24"/>
        </w:rPr>
        <w:t xml:space="preserve">Furthermore, the following analysis project will in depth analyze these two firms’ corporate performances, and </w:t>
      </w:r>
      <w:r w:rsidR="00406F00" w:rsidRPr="00B01A77">
        <w:rPr>
          <w:rFonts w:asciiTheme="majorBidi" w:hAnsiTheme="majorBidi" w:cstheme="majorBidi"/>
          <w:sz w:val="24"/>
          <w:szCs w:val="24"/>
        </w:rPr>
        <w:t xml:space="preserve">eventually </w:t>
      </w:r>
      <w:r w:rsidR="00C60E6E" w:rsidRPr="00B01A77">
        <w:rPr>
          <w:rFonts w:asciiTheme="majorBidi" w:hAnsiTheme="majorBidi" w:cstheme="majorBidi"/>
          <w:sz w:val="24"/>
          <w:szCs w:val="24"/>
        </w:rPr>
        <w:t>provide recommendations for potential investors.</w:t>
      </w:r>
    </w:p>
    <w:p w:rsidR="007631A2" w:rsidRPr="00B01A77" w:rsidRDefault="00A30109" w:rsidP="00AE518F">
      <w:pPr>
        <w:spacing w:line="480" w:lineRule="auto"/>
        <w:jc w:val="both"/>
        <w:rPr>
          <w:rFonts w:asciiTheme="majorBidi" w:hAnsiTheme="majorBidi" w:cstheme="majorBidi"/>
          <w:b/>
          <w:bCs/>
          <w:sz w:val="24"/>
          <w:szCs w:val="24"/>
        </w:rPr>
      </w:pPr>
      <w:r w:rsidRPr="00B01A77">
        <w:rPr>
          <w:rFonts w:asciiTheme="majorBidi" w:hAnsiTheme="majorBidi" w:cstheme="majorBidi"/>
          <w:b/>
          <w:bCs/>
          <w:sz w:val="24"/>
          <w:szCs w:val="24"/>
        </w:rPr>
        <w:t>Discussion of Target and Dollar G</w:t>
      </w:r>
      <w:r w:rsidR="00AE518F" w:rsidRPr="00B01A77">
        <w:rPr>
          <w:rFonts w:asciiTheme="majorBidi" w:hAnsiTheme="majorBidi" w:cstheme="majorBidi"/>
          <w:b/>
          <w:bCs/>
          <w:sz w:val="24"/>
          <w:szCs w:val="24"/>
        </w:rPr>
        <w:t>eneral’s performance</w:t>
      </w:r>
    </w:p>
    <w:p w:rsidR="000B0EBF" w:rsidRPr="00B01A77" w:rsidRDefault="000B0EBF" w:rsidP="007631A2">
      <w:pPr>
        <w:pStyle w:val="Body"/>
        <w:spacing w:line="480" w:lineRule="auto"/>
        <w:ind w:firstLine="720"/>
        <w:jc w:val="both"/>
        <w:rPr>
          <w:rFonts w:asciiTheme="majorBidi" w:hAnsiTheme="majorBidi" w:cstheme="majorBidi"/>
          <w:sz w:val="24"/>
          <w:szCs w:val="24"/>
        </w:rPr>
      </w:pPr>
      <w:r w:rsidRPr="00B01A77">
        <w:rPr>
          <w:rFonts w:asciiTheme="majorBidi" w:hAnsiTheme="majorBidi" w:cstheme="majorBidi"/>
          <w:sz w:val="24"/>
          <w:szCs w:val="24"/>
        </w:rPr>
        <w:t xml:space="preserve">Companies tend to either grow or shrink throughout the years. That is why we’re going to respectively analyze the performance of two different companies: the Dollar General Corporation and Target. The Dollar General Corporation is interesting because it is a well-known discount retailer that operates 15,000 stores. </w:t>
      </w:r>
    </w:p>
    <w:p w:rsidR="007631A2" w:rsidRPr="00B01A77" w:rsidRDefault="007631A2" w:rsidP="007631A2">
      <w:pPr>
        <w:pStyle w:val="Body"/>
        <w:spacing w:line="480" w:lineRule="auto"/>
        <w:ind w:firstLine="720"/>
        <w:jc w:val="both"/>
        <w:rPr>
          <w:rFonts w:asciiTheme="majorBidi" w:eastAsia="Times New Roman" w:hAnsiTheme="majorBidi" w:cstheme="majorBidi"/>
          <w:sz w:val="24"/>
          <w:szCs w:val="24"/>
          <w:u w:val="single"/>
        </w:rPr>
      </w:pPr>
      <w:r w:rsidRPr="00B01A77">
        <w:rPr>
          <w:rFonts w:asciiTheme="majorBidi" w:hAnsiTheme="majorBidi" w:cstheme="majorBidi"/>
          <w:sz w:val="24"/>
          <w:szCs w:val="24"/>
          <w:u w:val="single"/>
        </w:rPr>
        <w:t>Dollar General</w:t>
      </w:r>
    </w:p>
    <w:p w:rsidR="000B0EBF" w:rsidRPr="00B01A77" w:rsidRDefault="000B0EBF" w:rsidP="00D55F9A">
      <w:pPr>
        <w:pStyle w:val="Body"/>
        <w:spacing w:line="480" w:lineRule="auto"/>
        <w:jc w:val="both"/>
        <w:rPr>
          <w:rFonts w:asciiTheme="majorBidi" w:eastAsia="Times New Roman" w:hAnsiTheme="majorBidi" w:cstheme="majorBidi"/>
          <w:sz w:val="24"/>
          <w:szCs w:val="24"/>
        </w:rPr>
      </w:pPr>
      <w:r w:rsidRPr="00B01A77">
        <w:rPr>
          <w:rFonts w:asciiTheme="majorBidi" w:hAnsiTheme="majorBidi" w:cstheme="majorBidi"/>
          <w:sz w:val="24"/>
          <w:szCs w:val="24"/>
        </w:rPr>
        <w:t xml:space="preserve">First, it is efficient to study the financial indicators shown in the Ratio Analysis, the income statement and the balance sheet. The debt to equity ratio is crucial for the analysis. In fact, we calculate it by dividing the total debts with the total equity. The company’s debt-to-equity is 0.49. Which means that the Dollar General’s liabilities are 49% of shareholder’s </w:t>
      </w:r>
      <w:r w:rsidRPr="00B01A77">
        <w:rPr>
          <w:rFonts w:asciiTheme="majorBidi" w:hAnsiTheme="majorBidi" w:cstheme="majorBidi"/>
          <w:sz w:val="24"/>
          <w:szCs w:val="24"/>
        </w:rPr>
        <w:lastRenderedPageBreak/>
        <w:t xml:space="preserve">equity: for every dollar owned by the shareholders, the company owes $0.49 to creditors. The ratio is not high, which indicated that a company will most likely be able to generate enough cash to satisfy its debt obligations. The ratio in 2018 is 1.2 times lower than it was in 2017 (it was around 0.59), an improvement to the company. Furthermore, </w:t>
      </w:r>
      <w:proofErr w:type="gramStart"/>
      <w:r w:rsidRPr="00B01A77">
        <w:rPr>
          <w:rFonts w:asciiTheme="majorBidi" w:hAnsiTheme="majorBidi" w:cstheme="majorBidi"/>
          <w:sz w:val="24"/>
          <w:szCs w:val="24"/>
        </w:rPr>
        <w:t>The</w:t>
      </w:r>
      <w:proofErr w:type="gramEnd"/>
      <w:r w:rsidRPr="00B01A77">
        <w:rPr>
          <w:rFonts w:asciiTheme="majorBidi" w:hAnsiTheme="majorBidi" w:cstheme="majorBidi"/>
          <w:sz w:val="24"/>
          <w:szCs w:val="24"/>
        </w:rPr>
        <w:t xml:space="preserve"> current ratio is a valid indicator of a company’s performance because it indicates a company’s ability to meet short-term debt obligations (capable of paying debts over the next year). The current ratio in 2018 is 1.43, which is right above 1. This proves that the company will be able to pay its obligations because its value of short-term liabilities is smaller than its short-term asset value. The ratio has decreased by 0.23 since 2016, which means that the company’s ability to pay its debts has decreased. However, there has been a slight increase of 3% since 2017. The third and final financial indicator is the Return on Equity (ROE), calculated by dividing net income by shareholders’ equity. The ROE equals 21% in 2018 whereby any value above 14% (according to the </w:t>
      </w:r>
      <w:proofErr w:type="spellStart"/>
      <w:r w:rsidRPr="00B01A77">
        <w:rPr>
          <w:rFonts w:asciiTheme="majorBidi" w:hAnsiTheme="majorBidi" w:cstheme="majorBidi"/>
          <w:sz w:val="24"/>
          <w:szCs w:val="24"/>
        </w:rPr>
        <w:t>s&amp;p</w:t>
      </w:r>
      <w:proofErr w:type="spellEnd"/>
      <w:r w:rsidRPr="00B01A77">
        <w:rPr>
          <w:rFonts w:asciiTheme="majorBidi" w:hAnsiTheme="majorBidi" w:cstheme="majorBidi"/>
          <w:sz w:val="24"/>
          <w:szCs w:val="24"/>
        </w:rPr>
        <w:t xml:space="preserve"> 500) is considered a good ratio. The ratio decreased by 1.9 since 2017, which essentially indicates that the company is profitable for the investors and is knowledgeable about how to use its equity. </w:t>
      </w:r>
    </w:p>
    <w:p w:rsidR="000B0EBF" w:rsidRPr="00B01A77" w:rsidRDefault="000B0EBF" w:rsidP="00D55F9A">
      <w:pPr>
        <w:pStyle w:val="Body"/>
        <w:spacing w:line="480" w:lineRule="auto"/>
        <w:jc w:val="both"/>
        <w:rPr>
          <w:rFonts w:asciiTheme="majorBidi" w:eastAsia="Times New Roman" w:hAnsiTheme="majorBidi" w:cstheme="majorBidi"/>
          <w:sz w:val="24"/>
          <w:szCs w:val="24"/>
        </w:rPr>
      </w:pPr>
      <w:r w:rsidRPr="00B01A77">
        <w:rPr>
          <w:rFonts w:asciiTheme="majorBidi" w:hAnsiTheme="majorBidi" w:cstheme="majorBidi"/>
          <w:sz w:val="24"/>
          <w:szCs w:val="24"/>
        </w:rPr>
        <w:t xml:space="preserve">The non-financial aspect can also help us determine the company’s performance.  For instance, if we look at the company’s administrative expenses we can tell that they increased from 2016 to 2018. In fact they wouldn’t hire more employees or increase the salaries if they couldn’t afford to do so. Which is a proof of good performance. </w:t>
      </w:r>
    </w:p>
    <w:p w:rsidR="000B0EBF" w:rsidRPr="00B01A77" w:rsidRDefault="000B0EBF" w:rsidP="007631A2">
      <w:pPr>
        <w:pStyle w:val="Body"/>
        <w:spacing w:line="480" w:lineRule="auto"/>
        <w:jc w:val="both"/>
        <w:rPr>
          <w:rFonts w:asciiTheme="majorBidi" w:eastAsia="Times New Roman" w:hAnsiTheme="majorBidi" w:cstheme="majorBidi"/>
          <w:sz w:val="24"/>
          <w:szCs w:val="24"/>
        </w:rPr>
      </w:pPr>
      <w:r w:rsidRPr="00B01A77">
        <w:rPr>
          <w:rFonts w:asciiTheme="majorBidi" w:hAnsiTheme="majorBidi" w:cstheme="majorBidi"/>
          <w:sz w:val="24"/>
          <w:szCs w:val="24"/>
        </w:rPr>
        <w:t xml:space="preserve">There is no doubt that the company has an overall good performance because they can generate enough cash to pay their obligations over the year, and that they are profitable to the investor because they know how to use their equity. In addition to that, we can see an </w:t>
      </w:r>
      <w:r w:rsidRPr="00B01A77">
        <w:rPr>
          <w:rFonts w:asciiTheme="majorBidi" w:hAnsiTheme="majorBidi" w:cstheme="majorBidi"/>
          <w:sz w:val="24"/>
          <w:szCs w:val="24"/>
        </w:rPr>
        <w:lastRenderedPageBreak/>
        <w:t xml:space="preserve">enhancement in their performance thanks to their administrative expenses that have increased. </w:t>
      </w:r>
    </w:p>
    <w:p w:rsidR="007631A2" w:rsidRPr="00B01A77" w:rsidRDefault="007631A2" w:rsidP="007631A2">
      <w:pPr>
        <w:pStyle w:val="Body"/>
        <w:spacing w:line="480" w:lineRule="auto"/>
        <w:ind w:firstLine="720"/>
        <w:jc w:val="both"/>
        <w:rPr>
          <w:rFonts w:asciiTheme="majorBidi" w:eastAsia="Times New Roman" w:hAnsiTheme="majorBidi" w:cstheme="majorBidi"/>
          <w:sz w:val="24"/>
          <w:szCs w:val="24"/>
          <w:u w:val="single"/>
        </w:rPr>
      </w:pPr>
      <w:r w:rsidRPr="00B01A77">
        <w:rPr>
          <w:rFonts w:asciiTheme="majorBidi" w:eastAsia="Times New Roman" w:hAnsiTheme="majorBidi" w:cstheme="majorBidi"/>
          <w:sz w:val="24"/>
          <w:szCs w:val="24"/>
          <w:u w:val="single"/>
        </w:rPr>
        <w:t xml:space="preserve">Target </w:t>
      </w:r>
    </w:p>
    <w:p w:rsidR="000B0EBF" w:rsidRPr="00B01A77" w:rsidRDefault="000B0EBF" w:rsidP="00D55F9A">
      <w:pPr>
        <w:pStyle w:val="Body"/>
        <w:spacing w:line="480" w:lineRule="auto"/>
        <w:jc w:val="both"/>
        <w:rPr>
          <w:rFonts w:asciiTheme="majorBidi" w:eastAsia="Times New Roman" w:hAnsiTheme="majorBidi" w:cstheme="majorBidi"/>
          <w:sz w:val="24"/>
          <w:szCs w:val="24"/>
        </w:rPr>
      </w:pPr>
      <w:r w:rsidRPr="00B01A77">
        <w:rPr>
          <w:rFonts w:asciiTheme="majorBidi" w:hAnsiTheme="majorBidi" w:cstheme="majorBidi"/>
          <w:sz w:val="24"/>
          <w:szCs w:val="24"/>
        </w:rPr>
        <w:t xml:space="preserve">The second company is Target, a large department store in the United States. Let’s start by analyzing the financial indicators. First, we’ll look at their debt to equity in 2018. It is 0.978, which means that 97.8% of their liabilities are shareholders equity. For every dollar owned by the shareholders, the company owes $ 0.978 to creditors. It is less than 1, which indicates that Target attracts a good number of creditors, who usually like a low ratio because it is a sign of good protection of their money. The ratio in 2017 was higher, which means that there has been an improvement in 2018. The second financial indicator we’re going to analyze is the Current ratio. In 2018, was 0.96, which means that the company’s debts are greater than its </w:t>
      </w:r>
      <w:proofErr w:type="gramStart"/>
      <w:r w:rsidRPr="00B01A77">
        <w:rPr>
          <w:rFonts w:asciiTheme="majorBidi" w:hAnsiTheme="majorBidi" w:cstheme="majorBidi"/>
          <w:sz w:val="24"/>
          <w:szCs w:val="24"/>
        </w:rPr>
        <w:t>assets.</w:t>
      </w:r>
      <w:proofErr w:type="gramEnd"/>
      <w:r w:rsidRPr="00B01A77">
        <w:rPr>
          <w:rFonts w:asciiTheme="majorBidi" w:hAnsiTheme="majorBidi" w:cstheme="majorBidi"/>
          <w:sz w:val="24"/>
          <w:szCs w:val="24"/>
        </w:rPr>
        <w:t xml:space="preserve">  However in 2016, the current ratio was equal to 1.11. This proves that the company had higher chances of paying its obligation than now. In fact, the higher the current ratio the more capable a company is of paying its debts. The last financial indicator we’re going to use is the Return on Equity. In fact it was around 22.5% in 2018, an increase of 0.2% since 2017. This means that there has been an improvement since. </w:t>
      </w:r>
    </w:p>
    <w:p w:rsidR="000B0EBF" w:rsidRPr="00B01A77" w:rsidRDefault="000B0EBF" w:rsidP="00D55F9A">
      <w:pPr>
        <w:pStyle w:val="Body"/>
        <w:spacing w:line="480" w:lineRule="auto"/>
        <w:jc w:val="both"/>
        <w:rPr>
          <w:rFonts w:asciiTheme="majorBidi" w:eastAsia="Times New Roman" w:hAnsiTheme="majorBidi" w:cstheme="majorBidi"/>
          <w:sz w:val="24"/>
          <w:szCs w:val="24"/>
        </w:rPr>
      </w:pPr>
      <w:r w:rsidRPr="00B01A77">
        <w:rPr>
          <w:rFonts w:asciiTheme="majorBidi" w:hAnsiTheme="majorBidi" w:cstheme="majorBidi"/>
          <w:sz w:val="24"/>
          <w:szCs w:val="24"/>
        </w:rPr>
        <w:t>Let’s look at the non-financial indicators, precisely the number of employees that they have. They had 323,000 workers in 2017, but hired 22,000 additional ones. The increase is a sign of the company’s growth because it shows that they are expending and that they can afford to pay their salaries</w:t>
      </w:r>
    </w:p>
    <w:p w:rsidR="000B0EBF" w:rsidRPr="00B01A77" w:rsidRDefault="000B0EBF" w:rsidP="00D55F9A">
      <w:pPr>
        <w:pStyle w:val="Body"/>
        <w:spacing w:line="480" w:lineRule="auto"/>
        <w:jc w:val="both"/>
        <w:rPr>
          <w:rFonts w:asciiTheme="majorBidi" w:eastAsia="Times New Roman" w:hAnsiTheme="majorBidi" w:cstheme="majorBidi"/>
          <w:sz w:val="24"/>
          <w:szCs w:val="24"/>
        </w:rPr>
      </w:pPr>
      <w:r w:rsidRPr="00B01A77">
        <w:rPr>
          <w:rFonts w:asciiTheme="majorBidi" w:hAnsiTheme="majorBidi" w:cstheme="majorBidi"/>
          <w:sz w:val="24"/>
          <w:szCs w:val="24"/>
        </w:rPr>
        <w:t xml:space="preserve">Despite the fact that the company’s current ratio decreased since 2016, it is clear that Target knows how to improve their performance because their debt to equity and their return on </w:t>
      </w:r>
      <w:r w:rsidRPr="00B01A77">
        <w:rPr>
          <w:rFonts w:asciiTheme="majorBidi" w:hAnsiTheme="majorBidi" w:cstheme="majorBidi"/>
          <w:sz w:val="24"/>
          <w:szCs w:val="24"/>
        </w:rPr>
        <w:lastRenderedPageBreak/>
        <w:t xml:space="preserve">equity have increased. In addition, they hired new employees which compliments their good performance. </w:t>
      </w:r>
    </w:p>
    <w:p w:rsidR="000B0EBF" w:rsidRDefault="009D3BF1" w:rsidP="00D55F9A">
      <w:pPr>
        <w:pStyle w:val="Body"/>
        <w:spacing w:line="480" w:lineRule="auto"/>
        <w:jc w:val="both"/>
        <w:rPr>
          <w:rFonts w:asciiTheme="majorBidi" w:hAnsiTheme="majorBidi" w:cstheme="majorBidi"/>
          <w:b/>
          <w:bCs/>
          <w:sz w:val="24"/>
          <w:szCs w:val="24"/>
        </w:rPr>
      </w:pPr>
      <w:r w:rsidRPr="00B01A77">
        <w:rPr>
          <w:rFonts w:asciiTheme="majorBidi" w:hAnsiTheme="majorBidi" w:cstheme="majorBidi"/>
          <w:b/>
          <w:bCs/>
          <w:sz w:val="24"/>
          <w:szCs w:val="24"/>
        </w:rPr>
        <w:t xml:space="preserve">Is it better to invest in Target, or Dollar General? </w:t>
      </w:r>
    </w:p>
    <w:p w:rsidR="00865C5A" w:rsidRDefault="00865C5A" w:rsidP="00865C5A">
      <w:pPr>
        <w:spacing w:line="480" w:lineRule="auto"/>
      </w:pPr>
      <w:r>
        <w:t>After plenty of research, Dollar General was found to be the best choice of recommendation for future investors in comparison to Target. Accomplishments regarding Targets profitability, efficiency, solvency and liquidity have brought the company to an important milestone. The following information will provide the statistics proving why investors should further their interest in Dollar General which is definitely not overvalued.</w:t>
      </w:r>
    </w:p>
    <w:p w:rsidR="00865C5A" w:rsidRDefault="00865C5A" w:rsidP="00865C5A">
      <w:pPr>
        <w:spacing w:line="480" w:lineRule="auto"/>
      </w:pPr>
    </w:p>
    <w:p w:rsidR="00865C5A" w:rsidRDefault="00865C5A" w:rsidP="00DD2055">
      <w:pPr>
        <w:spacing w:line="480" w:lineRule="auto"/>
      </w:pPr>
      <w:r>
        <w:t>When it comes to profitability, there is a minor difference between Target and Dollar General’s gross profit. Target stood at 29.5% from 2016, whilst Dollar General was 30.95% moving to 28.9% for Target in 2018 and 30.8% for Dollar General thus showing Dollar General was in a better position than its competitors. As of operating efficiency, which is vital in receiving information on how management is controlling their costs, Dollar General moved from 76 in 2017 to 78.58 in 2018 with Target behind at 66.94 in 2017 to a 62.73 in 2018. Having a low ‘debt-to-equity’ ratio indicates sustainability showing Dollar General once again having Target beat going from 0.55 to 0.49 through 2016-2018, and Target remaining at a whopping 0.98; which should give investors more confidence in choosing Dollar General. Finally, we reach the liquidity analysis where the working capital is negative in Target in both 2017 and 2018 with values of (718) and (512) respectively, however Dollar General is positive with the values of 1055 in 2017 and 1283 in 2018, proving that in the short run</w:t>
      </w:r>
      <w:r w:rsidR="00DD2055">
        <w:t xml:space="preserve"> it is able to cover its debts.</w:t>
      </w:r>
    </w:p>
    <w:p w:rsidR="00865C5A" w:rsidRDefault="00865C5A" w:rsidP="00DD2055">
      <w:pPr>
        <w:spacing w:line="480" w:lineRule="auto"/>
        <w:rPr>
          <w:rFonts w:cstheme="minorHAnsi"/>
        </w:rPr>
      </w:pPr>
      <w:r>
        <w:t>Target is not d</w:t>
      </w:r>
      <w:r w:rsidR="00DD2055">
        <w:t xml:space="preserve">oing as well as Dollar General relative to its size, and moreover </w:t>
      </w:r>
      <w:r>
        <w:t>Investors love to support small businesses and Dollar General is definitely one proven worthy of support.</w:t>
      </w:r>
    </w:p>
    <w:p w:rsidR="002B65A9" w:rsidRDefault="002B65A9" w:rsidP="00162415">
      <w:pPr>
        <w:spacing w:line="480" w:lineRule="auto"/>
        <w:jc w:val="both"/>
        <w:rPr>
          <w:rFonts w:asciiTheme="majorBidi" w:hAnsiTheme="majorBidi" w:cstheme="majorBidi"/>
          <w:sz w:val="24"/>
          <w:szCs w:val="24"/>
        </w:rPr>
      </w:pPr>
    </w:p>
    <w:p w:rsidR="00DD2055" w:rsidRDefault="00DD2055" w:rsidP="00162415">
      <w:pPr>
        <w:spacing w:line="480" w:lineRule="auto"/>
        <w:jc w:val="both"/>
        <w:rPr>
          <w:rFonts w:asciiTheme="majorBidi" w:hAnsiTheme="majorBidi" w:cstheme="majorBidi"/>
          <w:sz w:val="24"/>
          <w:szCs w:val="24"/>
        </w:rPr>
      </w:pPr>
    </w:p>
    <w:p w:rsidR="00DD2055" w:rsidRDefault="00DD2055" w:rsidP="00162415">
      <w:pPr>
        <w:spacing w:line="480" w:lineRule="auto"/>
        <w:jc w:val="both"/>
        <w:rPr>
          <w:rFonts w:asciiTheme="majorBidi" w:hAnsiTheme="majorBidi" w:cstheme="majorBidi"/>
          <w:sz w:val="24"/>
          <w:szCs w:val="24"/>
        </w:rPr>
      </w:pPr>
    </w:p>
    <w:p w:rsidR="00DD2055" w:rsidRDefault="00DD2055" w:rsidP="00DD2055">
      <w:pPr>
        <w:rPr>
          <w:rFonts w:asciiTheme="majorBidi" w:hAnsiTheme="majorBidi" w:cstheme="majorBidi"/>
          <w:sz w:val="24"/>
          <w:szCs w:val="24"/>
        </w:rPr>
      </w:pPr>
    </w:p>
    <w:p w:rsidR="00162415" w:rsidRDefault="00B22D8C" w:rsidP="00DD2055">
      <w:pPr>
        <w:jc w:val="center"/>
        <w:rPr>
          <w:rFonts w:asciiTheme="majorBidi" w:hAnsiTheme="majorBidi" w:cstheme="majorBidi"/>
          <w:b/>
          <w:bCs/>
          <w:sz w:val="24"/>
          <w:szCs w:val="24"/>
        </w:rPr>
      </w:pPr>
      <w:r w:rsidRPr="00162415">
        <w:rPr>
          <w:rFonts w:asciiTheme="majorBidi" w:hAnsiTheme="majorBidi" w:cstheme="majorBidi"/>
          <w:b/>
          <w:bCs/>
          <w:sz w:val="24"/>
          <w:szCs w:val="24"/>
        </w:rPr>
        <w:t>Works Cited</w:t>
      </w:r>
    </w:p>
    <w:p w:rsidR="00DD2055" w:rsidRDefault="00DD2055" w:rsidP="00DD2055">
      <w:r>
        <w:t xml:space="preserve">“DG Analyst Opinion | Analyst Estimates | Dollar General Corporation Stock.” </w:t>
      </w:r>
      <w:r>
        <w:rPr>
          <w:i/>
          <w:iCs/>
        </w:rPr>
        <w:t>Yahoo! Finance</w:t>
      </w:r>
      <w:r>
        <w:t>, Yahoo!, 26 Nov. 2018, finance.yahoo.com/quote/DG/</w:t>
      </w:r>
      <w:proofErr w:type="spellStart"/>
      <w:r>
        <w:t>analysis?p</w:t>
      </w:r>
      <w:proofErr w:type="spellEnd"/>
      <w:r>
        <w:t>=DG.</w:t>
      </w:r>
    </w:p>
    <w:p w:rsidR="00162415" w:rsidRPr="00DD2055" w:rsidRDefault="00DD2055" w:rsidP="00DD2055">
      <w:r>
        <w:t xml:space="preserve">“Retail Industry Trends, Growth - Segmented by Product (Food And Grocery, Apparel, Furniture, Consumer Electronics, Personal Care, </w:t>
      </w:r>
      <w:proofErr w:type="spellStart"/>
      <w:r>
        <w:t>Jewellery</w:t>
      </w:r>
      <w:proofErr w:type="spellEnd"/>
      <w:r>
        <w:t xml:space="preserve">), Type of Store (Convenience Store, Specialty Retailer, Supermarket And Hypermarket, Internet Retailing, Discount Store), and Region - Growth, Trends and Forecast (2018 - 2023).” </w:t>
      </w:r>
      <w:r>
        <w:rPr>
          <w:i/>
          <w:iCs/>
        </w:rPr>
        <w:t xml:space="preserve">Analysis of UAE Telecom Market Segmented by Major Players, Market Share, Revenues and </w:t>
      </w:r>
      <w:proofErr w:type="gramStart"/>
      <w:r>
        <w:rPr>
          <w:i/>
          <w:iCs/>
        </w:rPr>
        <w:t>Regulations.</w:t>
      </w:r>
      <w:r>
        <w:t>,</w:t>
      </w:r>
      <w:proofErr w:type="gramEnd"/>
      <w:r>
        <w:t xml:space="preserve"> www.mordorintelligence.com/in</w:t>
      </w:r>
      <w:r>
        <w:t>dustry-reports/retail-industry.</w:t>
      </w:r>
    </w:p>
    <w:p w:rsidR="00162415" w:rsidRDefault="00162415" w:rsidP="00162415">
      <w:r>
        <w:t xml:space="preserve">Staff, </w:t>
      </w:r>
      <w:proofErr w:type="spellStart"/>
      <w:r>
        <w:t>Investopedia</w:t>
      </w:r>
      <w:proofErr w:type="spellEnd"/>
      <w:r>
        <w:t xml:space="preserve">. “The Industry Handbook: The Retailing Industry.” </w:t>
      </w:r>
      <w:proofErr w:type="spellStart"/>
      <w:r>
        <w:rPr>
          <w:i/>
          <w:iCs/>
        </w:rPr>
        <w:t>Investopedia</w:t>
      </w:r>
      <w:proofErr w:type="spellEnd"/>
      <w:r>
        <w:t xml:space="preserve">, </w:t>
      </w:r>
      <w:proofErr w:type="spellStart"/>
      <w:r>
        <w:t>Investopedia</w:t>
      </w:r>
      <w:proofErr w:type="spellEnd"/>
      <w:r>
        <w:t xml:space="preserve">, 30 Mar. 2017, </w:t>
      </w:r>
      <w:hyperlink r:id="rId12" w:history="1">
        <w:r w:rsidRPr="00191348">
          <w:rPr>
            <w:rStyle w:val="Hyperlink"/>
          </w:rPr>
          <w:t>www.investopedia.com/features/industryhandbook/retail.asp</w:t>
        </w:r>
      </w:hyperlink>
      <w:r>
        <w:t xml:space="preserve">. </w:t>
      </w:r>
    </w:p>
    <w:p w:rsidR="00162415" w:rsidRDefault="00DD2055" w:rsidP="00162415">
      <w:r>
        <w:t xml:space="preserve"> </w:t>
      </w:r>
      <w:r w:rsidR="00162415">
        <w:t xml:space="preserve">“TGT Analyst Opinion | Analyst Estimates | Target Corporation Stock.” </w:t>
      </w:r>
      <w:r w:rsidR="00162415">
        <w:rPr>
          <w:i/>
          <w:iCs/>
        </w:rPr>
        <w:t>Yahoo! Finance</w:t>
      </w:r>
      <w:r w:rsidR="00162415">
        <w:t>, Yahoo!, 26 Nov. 2018, finance.yahoo.com/quote/TGT/</w:t>
      </w:r>
      <w:proofErr w:type="spellStart"/>
      <w:r w:rsidR="00162415">
        <w:t>analysis?p</w:t>
      </w:r>
      <w:proofErr w:type="spellEnd"/>
      <w:r w:rsidR="00162415">
        <w:t>=TGT.</w:t>
      </w:r>
    </w:p>
    <w:p w:rsidR="006261FC" w:rsidRPr="00162415" w:rsidRDefault="00DD2055" w:rsidP="00162415">
      <w:pPr>
        <w:sectPr w:rsidR="006261FC" w:rsidRPr="00162415" w:rsidSect="002E2A32">
          <w:footerReference w:type="default" r:id="rId13"/>
          <w:pgSz w:w="12240" w:h="15840"/>
          <w:pgMar w:top="1440" w:right="1800" w:bottom="1440" w:left="1800" w:header="720" w:footer="720" w:gutter="0"/>
          <w:pgNumType w:start="0"/>
          <w:cols w:space="720"/>
          <w:titlePg/>
          <w:docGrid w:linePitch="360"/>
        </w:sectPr>
      </w:pPr>
      <w:r>
        <w:t xml:space="preserve"> </w:t>
      </w:r>
      <w:r w:rsidR="006261FC">
        <w:t xml:space="preserve">“5 Questions to Ask before You Invest in a Company.” </w:t>
      </w:r>
      <w:r w:rsidR="006261FC">
        <w:rPr>
          <w:i/>
          <w:iCs/>
        </w:rPr>
        <w:t>Macquarie Expertise Hub</w:t>
      </w:r>
      <w:r w:rsidR="006261FC">
        <w:t>, www.macquarie.com/au/personal/investments/expertise/5-questions-to-ask-before-you-invest-in-a-company.</w:t>
      </w:r>
    </w:p>
    <w:p w:rsidR="002B65A9" w:rsidRPr="00B01A77" w:rsidRDefault="002B65A9" w:rsidP="002B65A9">
      <w:pPr>
        <w:rPr>
          <w:rFonts w:asciiTheme="majorBidi" w:hAnsiTheme="majorBidi" w:cstheme="majorBidi"/>
          <w:b/>
          <w:bCs/>
          <w:sz w:val="24"/>
          <w:szCs w:val="24"/>
        </w:rPr>
      </w:pPr>
      <w:r w:rsidRPr="00B01A77">
        <w:rPr>
          <w:rFonts w:asciiTheme="majorBidi" w:hAnsiTheme="majorBidi" w:cstheme="majorBidi"/>
          <w:b/>
          <w:bCs/>
          <w:sz w:val="24"/>
          <w:szCs w:val="24"/>
        </w:rPr>
        <w:lastRenderedPageBreak/>
        <w:t>Appendix A: Ratio analysis</w:t>
      </w:r>
    </w:p>
    <w:p w:rsidR="002B65A9" w:rsidRPr="00B01A77" w:rsidRDefault="002B65A9" w:rsidP="002B65A9">
      <w:pPr>
        <w:rPr>
          <w:rFonts w:asciiTheme="majorBidi" w:hAnsiTheme="majorBidi" w:cstheme="majorBidi"/>
          <w:b/>
          <w:bCs/>
          <w:sz w:val="24"/>
          <w:szCs w:val="24"/>
        </w:rPr>
      </w:pPr>
      <w:r w:rsidRPr="00B01A77">
        <w:rPr>
          <w:rFonts w:asciiTheme="majorBidi" w:hAnsiTheme="majorBidi" w:cstheme="majorBidi"/>
          <w:b/>
          <w:bCs/>
          <w:sz w:val="24"/>
          <w:szCs w:val="24"/>
        </w:rPr>
        <w:t xml:space="preserve">Company Name: Dollar General Corporation </w:t>
      </w:r>
    </w:p>
    <w:p w:rsidR="002B65A9" w:rsidRPr="00B01A77" w:rsidRDefault="002B65A9" w:rsidP="002B65A9">
      <w:pPr>
        <w:rPr>
          <w:rFonts w:asciiTheme="majorBidi" w:hAnsiTheme="majorBidi" w:cstheme="majorBidi"/>
          <w:b/>
          <w:bCs/>
          <w:sz w:val="24"/>
          <w:szCs w:val="24"/>
        </w:rPr>
      </w:pPr>
      <w:r w:rsidRPr="00B01A77">
        <w:rPr>
          <w:rFonts w:asciiTheme="majorBidi" w:hAnsiTheme="majorBidi" w:cstheme="majorBidi"/>
          <w:b/>
          <w:bCs/>
          <w:sz w:val="24"/>
          <w:szCs w:val="24"/>
        </w:rPr>
        <w:t>Years: 2017-2018</w:t>
      </w:r>
    </w:p>
    <w:p w:rsidR="002B65A9" w:rsidRPr="00B01A77" w:rsidRDefault="002B65A9" w:rsidP="002B65A9">
      <w:pPr>
        <w:rPr>
          <w:rFonts w:asciiTheme="majorBidi" w:hAnsiTheme="majorBidi" w:cstheme="majorBidi"/>
          <w:sz w:val="24"/>
          <w:szCs w:val="24"/>
          <w:vertAlign w:val="subscript"/>
        </w:rPr>
      </w:pPr>
    </w:p>
    <w:tbl>
      <w:tblPr>
        <w:tblW w:w="4990" w:type="pct"/>
        <w:tblLayout w:type="fixed"/>
        <w:tblLook w:val="04A0" w:firstRow="1" w:lastRow="0" w:firstColumn="1" w:lastColumn="0" w:noHBand="0" w:noVBand="1"/>
      </w:tblPr>
      <w:tblGrid>
        <w:gridCol w:w="2594"/>
        <w:gridCol w:w="2117"/>
        <w:gridCol w:w="1327"/>
        <w:gridCol w:w="2829"/>
        <w:gridCol w:w="1327"/>
        <w:gridCol w:w="2479"/>
        <w:gridCol w:w="1238"/>
      </w:tblGrid>
      <w:tr w:rsidR="002B65A9" w:rsidRPr="00B01A77" w:rsidTr="00285C14">
        <w:trPr>
          <w:trHeight w:val="440"/>
        </w:trPr>
        <w:tc>
          <w:tcPr>
            <w:tcW w:w="932"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sz w:val="24"/>
                <w:szCs w:val="24"/>
                <w:vertAlign w:val="subscript"/>
              </w:rPr>
            </w:pPr>
          </w:p>
        </w:tc>
        <w:tc>
          <w:tcPr>
            <w:tcW w:w="761" w:type="pct"/>
            <w:tcBorders>
              <w:top w:val="single" w:sz="4" w:space="0" w:color="auto"/>
              <w:left w:val="nil"/>
              <w:bottom w:val="single" w:sz="4" w:space="0" w:color="auto"/>
              <w:right w:val="single" w:sz="4" w:space="0" w:color="auto"/>
            </w:tcBorders>
            <w:shd w:val="clear" w:color="auto" w:fill="A8D08D" w:themeFill="accent6" w:themeFillTint="99"/>
          </w:tcPr>
          <w:p w:rsidR="002B65A9" w:rsidRPr="00B01A77" w:rsidRDefault="002B65A9"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2016 Calculations</w:t>
            </w:r>
          </w:p>
        </w:tc>
        <w:tc>
          <w:tcPr>
            <w:tcW w:w="477" w:type="pct"/>
            <w:tcBorders>
              <w:top w:val="single" w:sz="8" w:space="0" w:color="auto"/>
              <w:left w:val="single" w:sz="4" w:space="0" w:color="auto"/>
              <w:bottom w:val="single" w:sz="8" w:space="0" w:color="auto"/>
              <w:right w:val="single" w:sz="4" w:space="0" w:color="auto"/>
            </w:tcBorders>
            <w:shd w:val="clear" w:color="auto" w:fill="A8D08D" w:themeFill="accent6" w:themeFillTint="99"/>
          </w:tcPr>
          <w:p w:rsidR="002B65A9" w:rsidRPr="00B01A77" w:rsidRDefault="002B65A9"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2016</w:t>
            </w:r>
          </w:p>
        </w:tc>
        <w:tc>
          <w:tcPr>
            <w:tcW w:w="1017" w:type="pct"/>
            <w:tcBorders>
              <w:top w:val="single" w:sz="8" w:space="0" w:color="auto"/>
              <w:left w:val="single" w:sz="4" w:space="0" w:color="auto"/>
              <w:bottom w:val="single" w:sz="8" w:space="0" w:color="auto"/>
              <w:right w:val="single" w:sz="8"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2017 Calculation</w:t>
            </w:r>
          </w:p>
        </w:tc>
        <w:tc>
          <w:tcPr>
            <w:tcW w:w="477" w:type="pct"/>
            <w:tcBorders>
              <w:top w:val="single" w:sz="8" w:space="0" w:color="auto"/>
              <w:left w:val="nil"/>
              <w:bottom w:val="single" w:sz="8" w:space="0" w:color="auto"/>
              <w:right w:val="single" w:sz="8"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2017</w:t>
            </w:r>
          </w:p>
        </w:tc>
        <w:tc>
          <w:tcPr>
            <w:tcW w:w="891" w:type="pct"/>
            <w:tcBorders>
              <w:top w:val="single" w:sz="8" w:space="0" w:color="auto"/>
              <w:left w:val="nil"/>
              <w:bottom w:val="single" w:sz="8" w:space="0" w:color="auto"/>
              <w:right w:val="single" w:sz="8"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2018 Calculation</w:t>
            </w:r>
          </w:p>
        </w:tc>
        <w:tc>
          <w:tcPr>
            <w:tcW w:w="445" w:type="pct"/>
            <w:tcBorders>
              <w:top w:val="single" w:sz="8" w:space="0" w:color="auto"/>
              <w:left w:val="nil"/>
              <w:bottom w:val="single" w:sz="8" w:space="0" w:color="auto"/>
              <w:right w:val="single" w:sz="8"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2018</w:t>
            </w:r>
          </w:p>
        </w:tc>
      </w:tr>
      <w:tr w:rsidR="002B65A9" w:rsidRPr="00B01A77" w:rsidTr="00285C14">
        <w:trPr>
          <w:trHeight w:val="440"/>
        </w:trPr>
        <w:tc>
          <w:tcPr>
            <w:tcW w:w="932" w:type="pct"/>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Gross profit percent</w:t>
            </w:r>
          </w:p>
        </w:tc>
        <w:tc>
          <w:tcPr>
            <w:tcW w:w="761" w:type="pct"/>
            <w:tcBorders>
              <w:top w:val="single" w:sz="4" w:space="0" w:color="auto"/>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(6,305/20,369) * 100</w:t>
            </w:r>
          </w:p>
        </w:tc>
        <w:tc>
          <w:tcPr>
            <w:tcW w:w="477" w:type="pct"/>
            <w:tcBorders>
              <w:top w:val="nil"/>
              <w:left w:val="single" w:sz="4" w:space="0" w:color="auto"/>
              <w:bottom w:val="single" w:sz="8" w:space="0" w:color="000000"/>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30.95%</w:t>
            </w:r>
          </w:p>
        </w:tc>
        <w:tc>
          <w:tcPr>
            <w:tcW w:w="1017" w:type="pct"/>
            <w:tcBorders>
              <w:top w:val="nil"/>
              <w:left w:val="single" w:sz="4"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(6,783 / 21,987) * 100</w:t>
            </w:r>
          </w:p>
        </w:tc>
        <w:tc>
          <w:tcPr>
            <w:tcW w:w="477"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30.8%</w:t>
            </w:r>
          </w:p>
        </w:tc>
        <w:tc>
          <w:tcPr>
            <w:tcW w:w="891"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(7,221 / 23,471)*100</w:t>
            </w:r>
          </w:p>
        </w:tc>
        <w:tc>
          <w:tcPr>
            <w:tcW w:w="445"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30.8%</w:t>
            </w:r>
          </w:p>
        </w:tc>
      </w:tr>
      <w:tr w:rsidR="002B65A9" w:rsidRPr="00B01A77" w:rsidTr="00285C14">
        <w:trPr>
          <w:trHeight w:val="440"/>
        </w:trPr>
        <w:tc>
          <w:tcPr>
            <w:tcW w:w="932" w:type="pct"/>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Revenues/year</w:t>
            </w:r>
          </w:p>
        </w:tc>
        <w:tc>
          <w:tcPr>
            <w:tcW w:w="761" w:type="pct"/>
            <w:tcBorders>
              <w:top w:val="single" w:sz="4" w:space="0" w:color="auto"/>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(given)</w:t>
            </w:r>
          </w:p>
        </w:tc>
        <w:tc>
          <w:tcPr>
            <w:tcW w:w="477" w:type="pct"/>
            <w:tcBorders>
              <w:top w:val="nil"/>
              <w:left w:val="single" w:sz="4" w:space="0" w:color="auto"/>
              <w:bottom w:val="single" w:sz="8"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20,369</w:t>
            </w:r>
          </w:p>
        </w:tc>
        <w:tc>
          <w:tcPr>
            <w:tcW w:w="1017" w:type="pct"/>
            <w:tcBorders>
              <w:top w:val="nil"/>
              <w:left w:val="single" w:sz="4" w:space="0" w:color="auto"/>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(given)</w:t>
            </w:r>
          </w:p>
        </w:tc>
        <w:tc>
          <w:tcPr>
            <w:tcW w:w="477"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21,987</w:t>
            </w:r>
          </w:p>
        </w:tc>
        <w:tc>
          <w:tcPr>
            <w:tcW w:w="891"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(given)</w:t>
            </w:r>
          </w:p>
        </w:tc>
        <w:tc>
          <w:tcPr>
            <w:tcW w:w="445"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23,471</w:t>
            </w:r>
          </w:p>
        </w:tc>
      </w:tr>
      <w:tr w:rsidR="002B65A9" w:rsidRPr="00B01A77" w:rsidTr="00285C14">
        <w:trPr>
          <w:trHeight w:val="440"/>
        </w:trPr>
        <w:tc>
          <w:tcPr>
            <w:tcW w:w="932" w:type="pct"/>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Administrative expenses</w:t>
            </w:r>
          </w:p>
        </w:tc>
        <w:tc>
          <w:tcPr>
            <w:tcW w:w="761" w:type="pct"/>
            <w:tcBorders>
              <w:top w:val="single" w:sz="4" w:space="0" w:color="auto"/>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(given)</w:t>
            </w:r>
          </w:p>
        </w:tc>
        <w:tc>
          <w:tcPr>
            <w:tcW w:w="477" w:type="pct"/>
            <w:tcBorders>
              <w:top w:val="nil"/>
              <w:left w:val="single" w:sz="4" w:space="0" w:color="auto"/>
              <w:bottom w:val="single" w:sz="8"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4,226</w:t>
            </w:r>
          </w:p>
        </w:tc>
        <w:tc>
          <w:tcPr>
            <w:tcW w:w="1017" w:type="pct"/>
            <w:tcBorders>
              <w:top w:val="nil"/>
              <w:left w:val="single" w:sz="4" w:space="0" w:color="auto"/>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(given)</w:t>
            </w:r>
          </w:p>
        </w:tc>
        <w:tc>
          <w:tcPr>
            <w:tcW w:w="477"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4,593</w:t>
            </w:r>
          </w:p>
        </w:tc>
        <w:tc>
          <w:tcPr>
            <w:tcW w:w="891"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(given)</w:t>
            </w:r>
          </w:p>
        </w:tc>
        <w:tc>
          <w:tcPr>
            <w:tcW w:w="445"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5,103</w:t>
            </w:r>
          </w:p>
        </w:tc>
      </w:tr>
      <w:tr w:rsidR="002B65A9" w:rsidRPr="00B01A77" w:rsidTr="00285C14">
        <w:trPr>
          <w:trHeight w:val="440"/>
        </w:trPr>
        <w:tc>
          <w:tcPr>
            <w:tcW w:w="932" w:type="pct"/>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 xml:space="preserve">Working Capital </w:t>
            </w:r>
          </w:p>
        </w:tc>
        <w:tc>
          <w:tcPr>
            <w:tcW w:w="761" w:type="pct"/>
            <w:tcBorders>
              <w:top w:val="single" w:sz="4" w:space="0" w:color="auto"/>
              <w:left w:val="single" w:sz="4" w:space="0" w:color="auto"/>
              <w:bottom w:val="single" w:sz="4" w:space="0" w:color="auto"/>
              <w:right w:val="single" w:sz="4" w:space="0" w:color="auto"/>
            </w:tcBorders>
            <w:vAlign w:val="center"/>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3,432-1,996</w:t>
            </w:r>
          </w:p>
        </w:tc>
        <w:tc>
          <w:tcPr>
            <w:tcW w:w="477" w:type="pct"/>
            <w:tcBorders>
              <w:top w:val="nil"/>
              <w:left w:val="single" w:sz="4" w:space="0" w:color="auto"/>
              <w:bottom w:val="single" w:sz="8" w:space="0" w:color="auto"/>
              <w:right w:val="single" w:sz="4" w:space="0" w:color="auto"/>
            </w:tcBorders>
            <w:vAlign w:val="center"/>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1436 </w:t>
            </w:r>
          </w:p>
        </w:tc>
        <w:tc>
          <w:tcPr>
            <w:tcW w:w="1017" w:type="pct"/>
            <w:tcBorders>
              <w:top w:val="nil"/>
              <w:left w:val="single" w:sz="4" w:space="0" w:color="auto"/>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3,678-2,623</w:t>
            </w:r>
          </w:p>
        </w:tc>
        <w:tc>
          <w:tcPr>
            <w:tcW w:w="477"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1055</w:t>
            </w:r>
          </w:p>
        </w:tc>
        <w:tc>
          <w:tcPr>
            <w:tcW w:w="891" w:type="pct"/>
            <w:tcBorders>
              <w:top w:val="nil"/>
              <w:left w:val="nil"/>
              <w:bottom w:val="single" w:sz="8" w:space="0" w:color="auto"/>
              <w:right w:val="single" w:sz="8" w:space="0" w:color="auto"/>
            </w:tcBorders>
            <w:shd w:val="clear" w:color="auto" w:fill="auto"/>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4,248-2,965</w:t>
            </w:r>
          </w:p>
        </w:tc>
        <w:tc>
          <w:tcPr>
            <w:tcW w:w="445" w:type="pct"/>
            <w:tcBorders>
              <w:top w:val="nil"/>
              <w:left w:val="nil"/>
              <w:bottom w:val="single" w:sz="8" w:space="0" w:color="auto"/>
              <w:right w:val="single" w:sz="8" w:space="0" w:color="auto"/>
            </w:tcBorders>
            <w:shd w:val="clear" w:color="auto" w:fill="auto"/>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1283</w:t>
            </w:r>
          </w:p>
        </w:tc>
      </w:tr>
      <w:tr w:rsidR="002B65A9" w:rsidRPr="00B01A77" w:rsidTr="00285C14">
        <w:trPr>
          <w:trHeight w:val="440"/>
        </w:trPr>
        <w:tc>
          <w:tcPr>
            <w:tcW w:w="932" w:type="pct"/>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 xml:space="preserve">Debt to equity </w:t>
            </w:r>
          </w:p>
        </w:tc>
        <w:tc>
          <w:tcPr>
            <w:tcW w:w="761" w:type="pct"/>
            <w:tcBorders>
              <w:top w:val="single" w:sz="4" w:space="0" w:color="auto"/>
              <w:left w:val="single" w:sz="4" w:space="0" w:color="auto"/>
              <w:bottom w:val="single" w:sz="4" w:space="0" w:color="auto"/>
              <w:right w:val="single" w:sz="4" w:space="0" w:color="auto"/>
            </w:tcBorders>
            <w:vAlign w:val="center"/>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2,971/5,378</w:t>
            </w:r>
          </w:p>
        </w:tc>
        <w:tc>
          <w:tcPr>
            <w:tcW w:w="477" w:type="pct"/>
            <w:tcBorders>
              <w:top w:val="nil"/>
              <w:left w:val="single" w:sz="4" w:space="0" w:color="auto"/>
              <w:bottom w:val="single" w:sz="8" w:space="0" w:color="auto"/>
              <w:right w:val="single" w:sz="4" w:space="0" w:color="auto"/>
            </w:tcBorders>
            <w:vAlign w:val="center"/>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0.55</w:t>
            </w:r>
          </w:p>
        </w:tc>
        <w:tc>
          <w:tcPr>
            <w:tcW w:w="1017" w:type="pct"/>
            <w:tcBorders>
              <w:top w:val="nil"/>
              <w:left w:val="single" w:sz="4" w:space="0" w:color="auto"/>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3,212/5,406</w:t>
            </w:r>
          </w:p>
        </w:tc>
        <w:tc>
          <w:tcPr>
            <w:tcW w:w="477"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0.59</w:t>
            </w:r>
          </w:p>
        </w:tc>
        <w:tc>
          <w:tcPr>
            <w:tcW w:w="891" w:type="pct"/>
            <w:tcBorders>
              <w:top w:val="nil"/>
              <w:left w:val="nil"/>
              <w:bottom w:val="single" w:sz="8" w:space="0" w:color="auto"/>
              <w:right w:val="single" w:sz="8" w:space="0" w:color="auto"/>
            </w:tcBorders>
            <w:shd w:val="clear" w:color="auto" w:fill="auto"/>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3,006/6,126</w:t>
            </w:r>
          </w:p>
        </w:tc>
        <w:tc>
          <w:tcPr>
            <w:tcW w:w="445" w:type="pct"/>
            <w:tcBorders>
              <w:top w:val="nil"/>
              <w:left w:val="nil"/>
              <w:bottom w:val="single" w:sz="8" w:space="0" w:color="auto"/>
              <w:right w:val="single" w:sz="8" w:space="0" w:color="auto"/>
            </w:tcBorders>
            <w:shd w:val="clear" w:color="auto" w:fill="auto"/>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0.49</w:t>
            </w:r>
          </w:p>
        </w:tc>
      </w:tr>
      <w:tr w:rsidR="002B65A9" w:rsidRPr="00B01A77" w:rsidTr="00285C14">
        <w:trPr>
          <w:trHeight w:val="440"/>
        </w:trPr>
        <w:tc>
          <w:tcPr>
            <w:tcW w:w="932" w:type="pct"/>
            <w:vMerge w:val="restart"/>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 xml:space="preserve">Return on equity </w:t>
            </w:r>
          </w:p>
        </w:tc>
        <w:tc>
          <w:tcPr>
            <w:tcW w:w="761" w:type="pct"/>
            <w:vMerge w:val="restart"/>
            <w:tcBorders>
              <w:top w:val="single" w:sz="4" w:space="0" w:color="auto"/>
              <w:left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not enough information is given from 2015 to determine average equity</w:t>
            </w:r>
          </w:p>
        </w:tc>
        <w:tc>
          <w:tcPr>
            <w:tcW w:w="477" w:type="pct"/>
            <w:tcBorders>
              <w:top w:val="nil"/>
              <w:left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highlight w:val="yellow"/>
                <w:vertAlign w:val="subscript"/>
              </w:rPr>
            </w:pPr>
          </w:p>
        </w:tc>
        <w:tc>
          <w:tcPr>
            <w:tcW w:w="1017" w:type="pct"/>
            <w:tcBorders>
              <w:top w:val="nil"/>
              <w:left w:val="single" w:sz="4" w:space="0" w:color="auto"/>
              <w:bottom w:val="nil"/>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p>
        </w:tc>
        <w:tc>
          <w:tcPr>
            <w:tcW w:w="477" w:type="pct"/>
            <w:vMerge w:val="restar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23.2%</w:t>
            </w:r>
          </w:p>
        </w:tc>
        <w:tc>
          <w:tcPr>
            <w:tcW w:w="891" w:type="pct"/>
            <w:tcBorders>
              <w:top w:val="nil"/>
              <w:left w:val="nil"/>
              <w:bottom w:val="nil"/>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p>
        </w:tc>
        <w:tc>
          <w:tcPr>
            <w:tcW w:w="445" w:type="pct"/>
            <w:vMerge w:val="restar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21.3%</w:t>
            </w:r>
          </w:p>
        </w:tc>
      </w:tr>
      <w:tr w:rsidR="002B65A9" w:rsidRPr="00B01A77" w:rsidTr="00285C14">
        <w:trPr>
          <w:trHeight w:val="440"/>
        </w:trPr>
        <w:tc>
          <w:tcPr>
            <w:tcW w:w="932" w:type="pct"/>
            <w:vMerge/>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p>
        </w:tc>
        <w:tc>
          <w:tcPr>
            <w:tcW w:w="761" w:type="pct"/>
            <w:vMerge/>
            <w:tcBorders>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p>
        </w:tc>
        <w:tc>
          <w:tcPr>
            <w:tcW w:w="477" w:type="pct"/>
            <w:tcBorders>
              <w:left w:val="single" w:sz="4" w:space="0" w:color="auto"/>
              <w:bottom w:val="single" w:sz="8" w:space="0" w:color="auto"/>
              <w:right w:val="single" w:sz="4" w:space="0" w:color="auto"/>
            </w:tcBorders>
            <w:shd w:val="clear" w:color="auto" w:fill="auto"/>
          </w:tcPr>
          <w:p w:rsidR="002B65A9" w:rsidRPr="00B01A77" w:rsidRDefault="002B65A9" w:rsidP="00285C14">
            <w:pPr>
              <w:pStyle w:val="NoSpacing"/>
              <w:rPr>
                <w:rFonts w:asciiTheme="majorBidi" w:hAnsiTheme="majorBidi" w:cstheme="majorBidi"/>
                <w:sz w:val="24"/>
                <w:szCs w:val="24"/>
                <w:highlight w:val="yellow"/>
                <w:vertAlign w:val="subscript"/>
              </w:rPr>
            </w:pPr>
          </w:p>
        </w:tc>
        <w:tc>
          <w:tcPr>
            <w:tcW w:w="1017" w:type="pct"/>
            <w:tcBorders>
              <w:top w:val="nil"/>
              <w:left w:val="single" w:sz="4" w:space="0" w:color="auto"/>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1,251 /</w:t>
            </w:r>
          </w:p>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((5,378 + 5,406) / 2)</w:t>
            </w:r>
          </w:p>
        </w:tc>
        <w:tc>
          <w:tcPr>
            <w:tcW w:w="477" w:type="pct"/>
            <w:vMerge/>
            <w:tcBorders>
              <w:top w:val="nil"/>
              <w:left w:val="single" w:sz="8" w:space="0" w:color="auto"/>
              <w:bottom w:val="single" w:sz="8" w:space="0" w:color="000000"/>
              <w:right w:val="single" w:sz="8" w:space="0" w:color="auto"/>
            </w:tcBorders>
            <w:vAlign w:val="center"/>
            <w:hideMark/>
          </w:tcPr>
          <w:p w:rsidR="002B65A9" w:rsidRPr="00B01A77" w:rsidRDefault="002B65A9" w:rsidP="00285C14">
            <w:pPr>
              <w:pStyle w:val="NoSpacing"/>
              <w:rPr>
                <w:rFonts w:asciiTheme="majorBidi" w:hAnsiTheme="majorBidi" w:cstheme="majorBidi"/>
                <w:sz w:val="24"/>
                <w:szCs w:val="24"/>
                <w:vertAlign w:val="subscript"/>
              </w:rPr>
            </w:pPr>
          </w:p>
        </w:tc>
        <w:tc>
          <w:tcPr>
            <w:tcW w:w="891" w:type="pct"/>
            <w:tcBorders>
              <w:top w:val="nil"/>
              <w:left w:val="nil"/>
              <w:bottom w:val="single" w:sz="8" w:space="0" w:color="auto"/>
              <w:right w:val="single" w:sz="8" w:space="0" w:color="auto"/>
            </w:tcBorders>
            <w:shd w:val="clear" w:color="auto" w:fill="auto"/>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1,228 /((5,406 + 6,126) / 2)</w:t>
            </w:r>
          </w:p>
        </w:tc>
        <w:tc>
          <w:tcPr>
            <w:tcW w:w="445" w:type="pct"/>
            <w:vMerge/>
            <w:tcBorders>
              <w:top w:val="nil"/>
              <w:left w:val="single" w:sz="8" w:space="0" w:color="auto"/>
              <w:bottom w:val="single" w:sz="8" w:space="0" w:color="000000"/>
              <w:right w:val="single" w:sz="8" w:space="0" w:color="auto"/>
            </w:tcBorders>
            <w:vAlign w:val="center"/>
            <w:hideMark/>
          </w:tcPr>
          <w:p w:rsidR="002B65A9" w:rsidRPr="00B01A77" w:rsidRDefault="002B65A9" w:rsidP="00285C14">
            <w:pPr>
              <w:pStyle w:val="NoSpacing"/>
              <w:rPr>
                <w:rFonts w:asciiTheme="majorBidi" w:hAnsiTheme="majorBidi" w:cstheme="majorBidi"/>
                <w:sz w:val="24"/>
                <w:szCs w:val="24"/>
                <w:vertAlign w:val="subscript"/>
              </w:rPr>
            </w:pPr>
          </w:p>
        </w:tc>
      </w:tr>
      <w:tr w:rsidR="002B65A9" w:rsidRPr="00B01A77" w:rsidTr="00285C14">
        <w:trPr>
          <w:trHeight w:val="440"/>
        </w:trPr>
        <w:tc>
          <w:tcPr>
            <w:tcW w:w="932" w:type="pct"/>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EPS</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1,165/295</w:t>
            </w:r>
          </w:p>
        </w:tc>
        <w:tc>
          <w:tcPr>
            <w:tcW w:w="477" w:type="pct"/>
            <w:tcBorders>
              <w:top w:val="nil"/>
              <w:left w:val="single" w:sz="4" w:space="0" w:color="auto"/>
              <w:bottom w:val="single" w:sz="8" w:space="0" w:color="auto"/>
              <w:right w:val="single" w:sz="4" w:space="0" w:color="auto"/>
            </w:tcBorders>
            <w:shd w:val="clear" w:color="auto" w:fill="FFFFFF" w:themeFill="background1"/>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3.94</w:t>
            </w:r>
          </w:p>
        </w:tc>
        <w:tc>
          <w:tcPr>
            <w:tcW w:w="1017" w:type="pct"/>
            <w:tcBorders>
              <w:top w:val="nil"/>
              <w:left w:val="single" w:sz="4" w:space="0" w:color="auto"/>
              <w:bottom w:val="single" w:sz="8" w:space="0" w:color="auto"/>
              <w:right w:val="single" w:sz="8" w:space="0" w:color="auto"/>
            </w:tcBorders>
            <w:shd w:val="clear" w:color="auto" w:fill="FFFFFF" w:themeFill="background1"/>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1,251 / 282</w:t>
            </w:r>
          </w:p>
        </w:tc>
        <w:tc>
          <w:tcPr>
            <w:tcW w:w="477" w:type="pct"/>
            <w:tcBorders>
              <w:top w:val="nil"/>
              <w:left w:val="nil"/>
              <w:bottom w:val="single" w:sz="8" w:space="0" w:color="auto"/>
              <w:right w:val="single" w:sz="8" w:space="0" w:color="auto"/>
            </w:tcBorders>
            <w:shd w:val="clear" w:color="auto" w:fill="FFFFFF" w:themeFill="background1"/>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4.43</w:t>
            </w:r>
          </w:p>
        </w:tc>
        <w:tc>
          <w:tcPr>
            <w:tcW w:w="891" w:type="pct"/>
            <w:tcBorders>
              <w:top w:val="nil"/>
              <w:left w:val="nil"/>
              <w:bottom w:val="single" w:sz="8" w:space="0" w:color="auto"/>
              <w:right w:val="single" w:sz="8" w:space="0" w:color="auto"/>
            </w:tcBorders>
            <w:shd w:val="clear" w:color="auto" w:fill="FFFFFF" w:themeFill="background1"/>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1,539 / 273</w:t>
            </w:r>
          </w:p>
        </w:tc>
        <w:tc>
          <w:tcPr>
            <w:tcW w:w="445" w:type="pct"/>
            <w:tcBorders>
              <w:top w:val="nil"/>
              <w:left w:val="nil"/>
              <w:bottom w:val="single" w:sz="8" w:space="0" w:color="auto"/>
              <w:right w:val="single" w:sz="8" w:space="0" w:color="auto"/>
            </w:tcBorders>
            <w:shd w:val="clear" w:color="auto" w:fill="FFFFFF" w:themeFill="background1"/>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5.63</w:t>
            </w:r>
          </w:p>
        </w:tc>
      </w:tr>
      <w:tr w:rsidR="002B65A9" w:rsidRPr="00B01A77" w:rsidTr="00285C14">
        <w:trPr>
          <w:trHeight w:val="440"/>
        </w:trPr>
        <w:tc>
          <w:tcPr>
            <w:tcW w:w="932" w:type="pct"/>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Current ratio</w:t>
            </w:r>
          </w:p>
        </w:tc>
        <w:tc>
          <w:tcPr>
            <w:tcW w:w="761" w:type="pct"/>
            <w:tcBorders>
              <w:top w:val="single" w:sz="4" w:space="0" w:color="auto"/>
              <w:left w:val="single" w:sz="4" w:space="0" w:color="auto"/>
              <w:bottom w:val="single" w:sz="4" w:space="0" w:color="auto"/>
              <w:right w:val="single" w:sz="4" w:space="0" w:color="auto"/>
            </w:tcBorders>
            <w:vAlign w:val="center"/>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3,432/1,996</w:t>
            </w:r>
          </w:p>
        </w:tc>
        <w:tc>
          <w:tcPr>
            <w:tcW w:w="477" w:type="pct"/>
            <w:tcBorders>
              <w:top w:val="nil"/>
              <w:left w:val="single" w:sz="4" w:space="0" w:color="auto"/>
              <w:bottom w:val="single" w:sz="8" w:space="0" w:color="auto"/>
              <w:right w:val="single" w:sz="4" w:space="0" w:color="auto"/>
            </w:tcBorders>
            <w:vAlign w:val="center"/>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1.72</w:t>
            </w:r>
          </w:p>
        </w:tc>
        <w:tc>
          <w:tcPr>
            <w:tcW w:w="1017" w:type="pct"/>
            <w:tcBorders>
              <w:top w:val="nil"/>
              <w:left w:val="single" w:sz="4" w:space="0" w:color="auto"/>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3,678/2,623</w:t>
            </w:r>
          </w:p>
        </w:tc>
        <w:tc>
          <w:tcPr>
            <w:tcW w:w="477"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1,40</w:t>
            </w:r>
          </w:p>
        </w:tc>
        <w:tc>
          <w:tcPr>
            <w:tcW w:w="891" w:type="pct"/>
            <w:tcBorders>
              <w:top w:val="nil"/>
              <w:left w:val="nil"/>
              <w:bottom w:val="single" w:sz="8" w:space="0" w:color="auto"/>
              <w:right w:val="single" w:sz="8" w:space="0" w:color="auto"/>
            </w:tcBorders>
            <w:shd w:val="clear" w:color="auto" w:fill="auto"/>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4,248/2,965</w:t>
            </w:r>
          </w:p>
        </w:tc>
        <w:tc>
          <w:tcPr>
            <w:tcW w:w="445" w:type="pct"/>
            <w:tcBorders>
              <w:top w:val="nil"/>
              <w:left w:val="nil"/>
              <w:bottom w:val="single" w:sz="8" w:space="0" w:color="auto"/>
              <w:right w:val="single" w:sz="8" w:space="0" w:color="auto"/>
            </w:tcBorders>
            <w:shd w:val="clear" w:color="auto" w:fill="auto"/>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1,43</w:t>
            </w:r>
          </w:p>
        </w:tc>
      </w:tr>
      <w:tr w:rsidR="002B65A9" w:rsidRPr="00B01A77" w:rsidTr="00285C14">
        <w:trPr>
          <w:trHeight w:val="440"/>
        </w:trPr>
        <w:tc>
          <w:tcPr>
            <w:tcW w:w="932" w:type="pct"/>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 xml:space="preserve">Quick ratio </w:t>
            </w:r>
          </w:p>
        </w:tc>
        <w:tc>
          <w:tcPr>
            <w:tcW w:w="761" w:type="pct"/>
            <w:tcBorders>
              <w:top w:val="single" w:sz="4" w:space="0" w:color="auto"/>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(3,432-3,074) / 1,996</w:t>
            </w:r>
          </w:p>
        </w:tc>
        <w:tc>
          <w:tcPr>
            <w:tcW w:w="477" w:type="pct"/>
            <w:tcBorders>
              <w:top w:val="nil"/>
              <w:left w:val="single" w:sz="4" w:space="0" w:color="auto"/>
              <w:bottom w:val="single" w:sz="8"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0.17</w:t>
            </w:r>
          </w:p>
        </w:tc>
        <w:tc>
          <w:tcPr>
            <w:tcW w:w="1017" w:type="pct"/>
            <w:tcBorders>
              <w:top w:val="nil"/>
              <w:left w:val="single" w:sz="4" w:space="0" w:color="auto"/>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(3,678 – 3,259) / 2,623</w:t>
            </w:r>
          </w:p>
        </w:tc>
        <w:tc>
          <w:tcPr>
            <w:tcW w:w="477"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0.16</w:t>
            </w:r>
          </w:p>
        </w:tc>
        <w:tc>
          <w:tcPr>
            <w:tcW w:w="891"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(4,248 – 3,609) / 2,965</w:t>
            </w:r>
          </w:p>
        </w:tc>
        <w:tc>
          <w:tcPr>
            <w:tcW w:w="445"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0.21</w:t>
            </w:r>
          </w:p>
        </w:tc>
      </w:tr>
      <w:tr w:rsidR="002B65A9" w:rsidRPr="00B01A77" w:rsidTr="00285C14">
        <w:trPr>
          <w:trHeight w:val="440"/>
        </w:trPr>
        <w:tc>
          <w:tcPr>
            <w:tcW w:w="932" w:type="pct"/>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Accounts Receivable turnover rate</w:t>
            </w:r>
          </w:p>
        </w:tc>
        <w:tc>
          <w:tcPr>
            <w:tcW w:w="761" w:type="pct"/>
            <w:tcBorders>
              <w:top w:val="single" w:sz="4" w:space="0" w:color="auto"/>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not enough information is given from 2015 to determine average AR</w:t>
            </w:r>
          </w:p>
        </w:tc>
        <w:tc>
          <w:tcPr>
            <w:tcW w:w="477" w:type="pct"/>
            <w:tcBorders>
              <w:top w:val="nil"/>
              <w:left w:val="single" w:sz="4" w:space="0" w:color="auto"/>
              <w:bottom w:val="single" w:sz="8"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p>
        </w:tc>
        <w:tc>
          <w:tcPr>
            <w:tcW w:w="1017" w:type="pct"/>
            <w:tcBorders>
              <w:top w:val="nil"/>
              <w:left w:val="single" w:sz="4" w:space="0" w:color="auto"/>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21,987 /((7 + 11) / 2)</w:t>
            </w:r>
          </w:p>
        </w:tc>
        <w:tc>
          <w:tcPr>
            <w:tcW w:w="477"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2,443</w:t>
            </w:r>
          </w:p>
        </w:tc>
        <w:tc>
          <w:tcPr>
            <w:tcW w:w="891"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23,471 /((11 + 108) / 2)</w:t>
            </w:r>
          </w:p>
        </w:tc>
        <w:tc>
          <w:tcPr>
            <w:tcW w:w="445"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394</w:t>
            </w:r>
          </w:p>
        </w:tc>
      </w:tr>
      <w:tr w:rsidR="002B65A9" w:rsidRPr="00B01A77" w:rsidTr="00285C14">
        <w:trPr>
          <w:trHeight w:val="440"/>
        </w:trPr>
        <w:tc>
          <w:tcPr>
            <w:tcW w:w="932" w:type="pct"/>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Inventory turnover rate</w:t>
            </w:r>
          </w:p>
          <w:p w:rsidR="002B65A9" w:rsidRPr="00B01A77" w:rsidRDefault="002B65A9" w:rsidP="00285C14">
            <w:pPr>
              <w:pStyle w:val="NoSpacing"/>
              <w:rPr>
                <w:rFonts w:asciiTheme="majorBidi" w:hAnsiTheme="majorBidi" w:cstheme="majorBidi"/>
                <w:b/>
                <w:bCs/>
                <w:i/>
                <w:iCs/>
                <w:sz w:val="24"/>
                <w:szCs w:val="24"/>
                <w:vertAlign w:val="subscript"/>
              </w:rPr>
            </w:pPr>
          </w:p>
        </w:tc>
        <w:tc>
          <w:tcPr>
            <w:tcW w:w="761" w:type="pct"/>
            <w:tcBorders>
              <w:top w:val="single" w:sz="4" w:space="0" w:color="auto"/>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not enough information is given from 2015 to determine average inventory</w:t>
            </w:r>
          </w:p>
        </w:tc>
        <w:tc>
          <w:tcPr>
            <w:tcW w:w="477" w:type="pct"/>
            <w:tcBorders>
              <w:top w:val="nil"/>
              <w:left w:val="single" w:sz="4" w:space="0" w:color="auto"/>
              <w:bottom w:val="single" w:sz="8" w:space="0" w:color="000000"/>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p>
        </w:tc>
        <w:tc>
          <w:tcPr>
            <w:tcW w:w="1017" w:type="pct"/>
            <w:tcBorders>
              <w:top w:val="nil"/>
              <w:left w:val="single" w:sz="4"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15,204 / ((3,074 + 3,259) / 2)</w:t>
            </w:r>
          </w:p>
        </w:tc>
        <w:tc>
          <w:tcPr>
            <w:tcW w:w="477"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xml:space="preserve"> 4.8</w:t>
            </w:r>
          </w:p>
        </w:tc>
        <w:tc>
          <w:tcPr>
            <w:tcW w:w="891"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16,250 / ((3,259 + 3,609) / 2)</w:t>
            </w:r>
          </w:p>
        </w:tc>
        <w:tc>
          <w:tcPr>
            <w:tcW w:w="445"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4.7</w:t>
            </w:r>
          </w:p>
        </w:tc>
      </w:tr>
      <w:tr w:rsidR="002B65A9" w:rsidRPr="00B01A77" w:rsidTr="00285C14">
        <w:trPr>
          <w:trHeight w:val="440"/>
        </w:trPr>
        <w:tc>
          <w:tcPr>
            <w:tcW w:w="932" w:type="pct"/>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Operating cycle</w:t>
            </w:r>
          </w:p>
        </w:tc>
        <w:tc>
          <w:tcPr>
            <w:tcW w:w="761" w:type="pct"/>
            <w:tcBorders>
              <w:top w:val="single" w:sz="4" w:space="0" w:color="auto"/>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not enough information is given from 2015 to determine inventory turnover</w:t>
            </w:r>
          </w:p>
        </w:tc>
        <w:tc>
          <w:tcPr>
            <w:tcW w:w="477" w:type="pct"/>
            <w:tcBorders>
              <w:top w:val="nil"/>
              <w:left w:val="single" w:sz="4" w:space="0" w:color="auto"/>
              <w:bottom w:val="single" w:sz="8"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p>
        </w:tc>
        <w:tc>
          <w:tcPr>
            <w:tcW w:w="1017" w:type="pct"/>
            <w:tcBorders>
              <w:top w:val="nil"/>
              <w:left w:val="single" w:sz="4" w:space="0" w:color="auto"/>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(365 / 2,443) + (365 / 4.8)</w:t>
            </w:r>
          </w:p>
        </w:tc>
        <w:tc>
          <w:tcPr>
            <w:tcW w:w="477"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76</w:t>
            </w:r>
          </w:p>
        </w:tc>
        <w:tc>
          <w:tcPr>
            <w:tcW w:w="891"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(365 / 394) +(365 / 4.7)</w:t>
            </w:r>
          </w:p>
        </w:tc>
        <w:tc>
          <w:tcPr>
            <w:tcW w:w="445" w:type="pct"/>
            <w:tcBorders>
              <w:top w:val="nil"/>
              <w:left w:val="nil"/>
              <w:bottom w:val="single" w:sz="8" w:space="0" w:color="auto"/>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78.58</w:t>
            </w:r>
          </w:p>
        </w:tc>
      </w:tr>
      <w:tr w:rsidR="002B65A9" w:rsidRPr="00B01A77" w:rsidTr="00285C14">
        <w:trPr>
          <w:trHeight w:val="440"/>
        </w:trPr>
        <w:tc>
          <w:tcPr>
            <w:tcW w:w="932" w:type="pct"/>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 xml:space="preserve">Dividend per share </w:t>
            </w:r>
          </w:p>
          <w:p w:rsidR="002B65A9" w:rsidRPr="00B01A77" w:rsidRDefault="002B65A9" w:rsidP="00285C14">
            <w:pPr>
              <w:pStyle w:val="NoSpacing"/>
              <w:rPr>
                <w:rFonts w:asciiTheme="majorBidi" w:hAnsiTheme="majorBidi" w:cstheme="majorBidi"/>
                <w:b/>
                <w:bCs/>
                <w:i/>
                <w:iCs/>
                <w:sz w:val="24"/>
                <w:szCs w:val="24"/>
                <w:vertAlign w:val="subscript"/>
                <w:lang w:val="en-GB"/>
              </w:rPr>
            </w:pPr>
          </w:p>
        </w:tc>
        <w:tc>
          <w:tcPr>
            <w:tcW w:w="761" w:type="pct"/>
            <w:tcBorders>
              <w:top w:val="single" w:sz="4" w:space="0" w:color="auto"/>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258 / 287</w:t>
            </w:r>
          </w:p>
        </w:tc>
        <w:tc>
          <w:tcPr>
            <w:tcW w:w="477" w:type="pct"/>
            <w:tcBorders>
              <w:top w:val="nil"/>
              <w:left w:val="single" w:sz="4" w:space="0" w:color="auto"/>
              <w:bottom w:val="single" w:sz="8" w:space="0" w:color="000000"/>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0.89</w:t>
            </w:r>
          </w:p>
        </w:tc>
        <w:tc>
          <w:tcPr>
            <w:tcW w:w="1017" w:type="pct"/>
            <w:tcBorders>
              <w:top w:val="nil"/>
              <w:left w:val="single" w:sz="4"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281 / 275</w:t>
            </w:r>
          </w:p>
        </w:tc>
        <w:tc>
          <w:tcPr>
            <w:tcW w:w="477"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1.02</w:t>
            </w:r>
          </w:p>
        </w:tc>
        <w:tc>
          <w:tcPr>
            <w:tcW w:w="891"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283 / 269</w:t>
            </w:r>
          </w:p>
        </w:tc>
        <w:tc>
          <w:tcPr>
            <w:tcW w:w="445"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1.05</w:t>
            </w:r>
          </w:p>
        </w:tc>
      </w:tr>
      <w:tr w:rsidR="002B65A9" w:rsidRPr="00B01A77" w:rsidTr="00285C14">
        <w:trPr>
          <w:trHeight w:val="440"/>
        </w:trPr>
        <w:tc>
          <w:tcPr>
            <w:tcW w:w="932" w:type="pct"/>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2B65A9" w:rsidRPr="00B01A77" w:rsidRDefault="002B65A9"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Dividend yield</w:t>
            </w:r>
          </w:p>
          <w:p w:rsidR="002B65A9" w:rsidRPr="00B01A77" w:rsidRDefault="002B65A9" w:rsidP="00285C14">
            <w:pPr>
              <w:pStyle w:val="NoSpacing"/>
              <w:rPr>
                <w:rFonts w:asciiTheme="majorBidi" w:hAnsiTheme="majorBidi" w:cstheme="majorBidi"/>
                <w:b/>
                <w:bCs/>
                <w:i/>
                <w:iCs/>
                <w:sz w:val="24"/>
                <w:szCs w:val="24"/>
                <w:vertAlign w:val="subscript"/>
              </w:rPr>
            </w:pPr>
          </w:p>
        </w:tc>
        <w:tc>
          <w:tcPr>
            <w:tcW w:w="761" w:type="pct"/>
            <w:tcBorders>
              <w:top w:val="single" w:sz="4" w:space="0" w:color="auto"/>
              <w:left w:val="single" w:sz="4" w:space="0" w:color="auto"/>
              <w:bottom w:val="single" w:sz="4" w:space="0" w:color="auto"/>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not enough information is given from 2015 to determine equity of last year</w:t>
            </w:r>
          </w:p>
        </w:tc>
        <w:tc>
          <w:tcPr>
            <w:tcW w:w="477" w:type="pct"/>
            <w:tcBorders>
              <w:top w:val="nil"/>
              <w:left w:val="single" w:sz="4" w:space="0" w:color="auto"/>
              <w:bottom w:val="single" w:sz="8" w:space="0" w:color="000000"/>
              <w:right w:val="single" w:sz="4" w:space="0" w:color="auto"/>
            </w:tcBorders>
          </w:tcPr>
          <w:p w:rsidR="002B65A9" w:rsidRPr="00B01A77" w:rsidRDefault="002B65A9" w:rsidP="00285C14">
            <w:pPr>
              <w:pStyle w:val="NoSpacing"/>
              <w:rPr>
                <w:rFonts w:asciiTheme="majorBidi" w:hAnsiTheme="majorBidi" w:cstheme="majorBidi"/>
                <w:sz w:val="24"/>
                <w:szCs w:val="24"/>
                <w:vertAlign w:val="subscript"/>
              </w:rPr>
            </w:pPr>
          </w:p>
        </w:tc>
        <w:tc>
          <w:tcPr>
            <w:tcW w:w="1017" w:type="pct"/>
            <w:tcBorders>
              <w:top w:val="nil"/>
              <w:left w:val="single" w:sz="4"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1.02/(5,378 / 287)</w:t>
            </w:r>
          </w:p>
        </w:tc>
        <w:tc>
          <w:tcPr>
            <w:tcW w:w="477"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0.05</w:t>
            </w:r>
          </w:p>
        </w:tc>
        <w:tc>
          <w:tcPr>
            <w:tcW w:w="891"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1.05/(6,126 / 269)</w:t>
            </w:r>
          </w:p>
          <w:p w:rsidR="002B65A9" w:rsidRPr="00B01A77" w:rsidRDefault="002B65A9" w:rsidP="00285C14">
            <w:pPr>
              <w:pStyle w:val="NoSpacing"/>
              <w:rPr>
                <w:rFonts w:asciiTheme="majorBidi" w:hAnsiTheme="majorBidi" w:cstheme="majorBidi"/>
                <w:sz w:val="24"/>
                <w:szCs w:val="24"/>
                <w:vertAlign w:val="subscript"/>
              </w:rPr>
            </w:pPr>
          </w:p>
        </w:tc>
        <w:tc>
          <w:tcPr>
            <w:tcW w:w="445" w:type="pct"/>
            <w:tcBorders>
              <w:top w:val="nil"/>
              <w:left w:val="single" w:sz="8" w:space="0" w:color="auto"/>
              <w:bottom w:val="single" w:sz="8" w:space="0" w:color="000000"/>
              <w:right w:val="single" w:sz="8" w:space="0" w:color="auto"/>
            </w:tcBorders>
            <w:shd w:val="clear" w:color="auto" w:fill="auto"/>
            <w:vAlign w:val="center"/>
            <w:hideMark/>
          </w:tcPr>
          <w:p w:rsidR="002B65A9" w:rsidRPr="00B01A77" w:rsidRDefault="002B65A9"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0.04</w:t>
            </w:r>
          </w:p>
        </w:tc>
      </w:tr>
    </w:tbl>
    <w:p w:rsidR="002B65A9" w:rsidRPr="00B01A77" w:rsidRDefault="002B65A9" w:rsidP="002B65A9">
      <w:pPr>
        <w:rPr>
          <w:rFonts w:asciiTheme="majorBidi" w:hAnsiTheme="majorBidi" w:cstheme="majorBidi"/>
          <w:b/>
          <w:bCs/>
          <w:sz w:val="24"/>
          <w:szCs w:val="24"/>
          <w:u w:val="single"/>
          <w:vertAlign w:val="subscript"/>
        </w:rPr>
      </w:pPr>
    </w:p>
    <w:p w:rsidR="002B65A9" w:rsidRPr="00B01A77" w:rsidRDefault="002B65A9" w:rsidP="002B65A9">
      <w:pPr>
        <w:rPr>
          <w:rFonts w:asciiTheme="majorBidi" w:hAnsiTheme="majorBidi" w:cstheme="majorBidi"/>
          <w:b/>
          <w:bCs/>
          <w:sz w:val="24"/>
          <w:szCs w:val="24"/>
          <w:u w:val="single"/>
          <w:vertAlign w:val="subscript"/>
        </w:rPr>
      </w:pPr>
      <w:r w:rsidRPr="00B01A77">
        <w:rPr>
          <w:rFonts w:asciiTheme="majorBidi" w:hAnsiTheme="majorBidi" w:cstheme="majorBidi"/>
          <w:b/>
          <w:bCs/>
          <w:sz w:val="24"/>
          <w:szCs w:val="24"/>
          <w:u w:val="single"/>
          <w:vertAlign w:val="subscript"/>
        </w:rPr>
        <w:t>Formulas Used:</w:t>
      </w:r>
    </w:p>
    <w:p w:rsidR="002B65A9" w:rsidRPr="00B01A77" w:rsidRDefault="002B65A9" w:rsidP="002B65A9">
      <w:pPr>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Gross Profit Percentage = (Gross Profit/Total Revenues) * 100, (income statement)</w:t>
      </w:r>
    </w:p>
    <w:p w:rsidR="002B65A9" w:rsidRPr="00B01A77" w:rsidRDefault="002B65A9" w:rsidP="002B65A9">
      <w:pPr>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Revenue/Year, (income statement)</w:t>
      </w:r>
    </w:p>
    <w:p w:rsidR="002B65A9" w:rsidRPr="00B01A77" w:rsidRDefault="002B65A9" w:rsidP="002B65A9">
      <w:pPr>
        <w:rPr>
          <w:rFonts w:asciiTheme="majorBidi" w:hAnsiTheme="majorBidi" w:cstheme="majorBidi"/>
          <w:sz w:val="24"/>
          <w:szCs w:val="24"/>
          <w:vertAlign w:val="subscript"/>
          <w:lang w:val="en-GB"/>
        </w:rPr>
      </w:pPr>
      <w:r w:rsidRPr="00B01A77">
        <w:rPr>
          <w:rFonts w:asciiTheme="majorBidi" w:hAnsiTheme="majorBidi" w:cstheme="majorBidi"/>
          <w:sz w:val="24"/>
          <w:szCs w:val="24"/>
          <w:vertAlign w:val="subscript"/>
          <w:lang w:val="en-GB"/>
        </w:rPr>
        <w:t>Administrative Expenses, (income statement)</w:t>
      </w:r>
    </w:p>
    <w:p w:rsidR="002B65A9" w:rsidRPr="00B01A77" w:rsidRDefault="002B65A9" w:rsidP="002B65A9">
      <w:pPr>
        <w:rPr>
          <w:rFonts w:asciiTheme="majorBidi" w:hAnsiTheme="majorBidi" w:cstheme="majorBidi"/>
          <w:sz w:val="24"/>
          <w:szCs w:val="24"/>
          <w:vertAlign w:val="subscript"/>
          <w:lang w:val="en-GB"/>
        </w:rPr>
      </w:pPr>
      <w:r w:rsidRPr="00B01A77">
        <w:rPr>
          <w:rFonts w:asciiTheme="majorBidi" w:hAnsiTheme="majorBidi" w:cstheme="majorBidi"/>
          <w:sz w:val="24"/>
          <w:szCs w:val="24"/>
          <w:vertAlign w:val="subscript"/>
          <w:lang w:val="en-GB"/>
        </w:rPr>
        <w:t>Working Capital Ratio= (current assets – current liabilities), (balance sheet)</w:t>
      </w:r>
    </w:p>
    <w:p w:rsidR="002B65A9" w:rsidRPr="00B01A77" w:rsidRDefault="002B65A9" w:rsidP="002B65A9">
      <w:pPr>
        <w:rPr>
          <w:rFonts w:asciiTheme="majorBidi" w:hAnsiTheme="majorBidi" w:cstheme="majorBidi"/>
          <w:sz w:val="24"/>
          <w:szCs w:val="24"/>
          <w:vertAlign w:val="subscript"/>
          <w:lang w:val="en-GB"/>
        </w:rPr>
      </w:pPr>
      <w:r w:rsidRPr="00B01A77">
        <w:rPr>
          <w:rFonts w:asciiTheme="majorBidi" w:hAnsiTheme="majorBidi" w:cstheme="majorBidi"/>
          <w:sz w:val="24"/>
          <w:szCs w:val="24"/>
          <w:vertAlign w:val="subscript"/>
          <w:lang w:val="en-GB"/>
        </w:rPr>
        <w:t>Debt to equity = (total debt / total equity), (balance sheet)</w:t>
      </w:r>
    </w:p>
    <w:p w:rsidR="002B65A9" w:rsidRPr="00B01A77" w:rsidRDefault="002B65A9" w:rsidP="002B65A9">
      <w:pPr>
        <w:rPr>
          <w:rFonts w:asciiTheme="majorBidi" w:hAnsiTheme="majorBidi" w:cstheme="majorBidi"/>
          <w:sz w:val="24"/>
          <w:szCs w:val="24"/>
          <w:vertAlign w:val="subscript"/>
          <w:lang w:val="en-GB"/>
        </w:rPr>
      </w:pPr>
      <w:r w:rsidRPr="00B01A77">
        <w:rPr>
          <w:rFonts w:asciiTheme="majorBidi" w:hAnsiTheme="majorBidi" w:cstheme="majorBidi"/>
          <w:sz w:val="24"/>
          <w:szCs w:val="24"/>
          <w:vertAlign w:val="subscript"/>
          <w:lang w:val="en-GB"/>
        </w:rPr>
        <w:t>Return on equity = (net income before extraordinary items / average total equity), (income statement and balance sheet)</w:t>
      </w:r>
    </w:p>
    <w:p w:rsidR="002B65A9" w:rsidRPr="00B01A77" w:rsidRDefault="002B65A9" w:rsidP="002B65A9">
      <w:pPr>
        <w:rPr>
          <w:rFonts w:asciiTheme="majorBidi" w:hAnsiTheme="majorBidi" w:cstheme="majorBidi"/>
          <w:color w:val="111111"/>
          <w:sz w:val="24"/>
          <w:szCs w:val="24"/>
          <w:vertAlign w:val="subscript"/>
        </w:rPr>
      </w:pPr>
      <w:r w:rsidRPr="00B01A77">
        <w:rPr>
          <w:rFonts w:asciiTheme="majorBidi" w:hAnsiTheme="majorBidi" w:cstheme="majorBidi"/>
          <w:sz w:val="24"/>
          <w:szCs w:val="24"/>
          <w:vertAlign w:val="subscript"/>
          <w:lang w:val="en-GB"/>
        </w:rPr>
        <w:t>EPS = (</w:t>
      </w:r>
      <w:r w:rsidRPr="00B01A77">
        <w:rPr>
          <w:rFonts w:asciiTheme="majorBidi" w:hAnsiTheme="majorBidi" w:cstheme="majorBidi"/>
          <w:color w:val="111111"/>
          <w:sz w:val="24"/>
          <w:szCs w:val="24"/>
          <w:vertAlign w:val="subscript"/>
        </w:rPr>
        <w:t>net income / average outstanding common shares), (income statement and balance sheet)</w:t>
      </w:r>
    </w:p>
    <w:p w:rsidR="002B65A9" w:rsidRPr="00B01A77" w:rsidRDefault="002B65A9" w:rsidP="002B65A9">
      <w:pPr>
        <w:rPr>
          <w:rFonts w:asciiTheme="majorBidi" w:hAnsiTheme="majorBidi" w:cstheme="majorBidi"/>
          <w:sz w:val="24"/>
          <w:szCs w:val="24"/>
          <w:vertAlign w:val="subscript"/>
          <w:lang w:val="en-GB"/>
        </w:rPr>
      </w:pPr>
      <w:r w:rsidRPr="00B01A77">
        <w:rPr>
          <w:rFonts w:asciiTheme="majorBidi" w:hAnsiTheme="majorBidi" w:cstheme="majorBidi"/>
          <w:color w:val="111111"/>
          <w:sz w:val="24"/>
          <w:szCs w:val="24"/>
          <w:vertAlign w:val="subscript"/>
        </w:rPr>
        <w:t xml:space="preserve">Current Ratio = </w:t>
      </w:r>
      <w:r w:rsidRPr="00B01A77">
        <w:rPr>
          <w:rFonts w:asciiTheme="majorBidi" w:hAnsiTheme="majorBidi" w:cstheme="majorBidi"/>
          <w:sz w:val="24"/>
          <w:szCs w:val="24"/>
          <w:vertAlign w:val="subscript"/>
          <w:lang w:val="en-GB"/>
        </w:rPr>
        <w:t>(current assets / current liabilities), (balance sheet)</w:t>
      </w:r>
    </w:p>
    <w:p w:rsidR="002B65A9" w:rsidRPr="00B01A77" w:rsidRDefault="002B65A9" w:rsidP="002B65A9">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Quick Ratio= </w:t>
      </w:r>
      <w:r w:rsidRPr="00B01A77">
        <w:rPr>
          <w:rFonts w:asciiTheme="majorBidi" w:hAnsiTheme="majorBidi" w:cstheme="majorBidi"/>
          <w:sz w:val="24"/>
          <w:szCs w:val="24"/>
          <w:vertAlign w:val="subscript"/>
          <w:lang w:val="en-GB"/>
        </w:rPr>
        <w:t>(Total current assets – total inventory) / Total current liabilities, (balance sheet)</w:t>
      </w:r>
    </w:p>
    <w:p w:rsidR="002B65A9" w:rsidRPr="00B01A77" w:rsidRDefault="002B65A9" w:rsidP="002B65A9">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Accounts Receivable Turnover Ratio= </w:t>
      </w:r>
      <w:r w:rsidRPr="00B01A77">
        <w:rPr>
          <w:rFonts w:asciiTheme="majorBidi" w:hAnsiTheme="majorBidi" w:cstheme="majorBidi"/>
          <w:sz w:val="24"/>
          <w:szCs w:val="24"/>
          <w:vertAlign w:val="subscript"/>
          <w:lang w:val="en-GB"/>
        </w:rPr>
        <w:t>(net sales / average accounts receivable), (</w:t>
      </w:r>
      <w:r w:rsidRPr="00B01A77">
        <w:rPr>
          <w:rFonts w:asciiTheme="majorBidi" w:hAnsiTheme="majorBidi" w:cstheme="majorBidi"/>
          <w:color w:val="111111"/>
          <w:sz w:val="24"/>
          <w:szCs w:val="24"/>
          <w:vertAlign w:val="subscript"/>
        </w:rPr>
        <w:t>balance sheet)</w:t>
      </w:r>
    </w:p>
    <w:p w:rsidR="002B65A9" w:rsidRPr="00B01A77" w:rsidRDefault="002B65A9" w:rsidP="002B65A9">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Inventory Turnover Rate = </w:t>
      </w:r>
      <w:r w:rsidRPr="00B01A77">
        <w:rPr>
          <w:rFonts w:asciiTheme="majorBidi" w:hAnsiTheme="majorBidi" w:cstheme="majorBidi"/>
          <w:sz w:val="24"/>
          <w:szCs w:val="24"/>
          <w:vertAlign w:val="subscript"/>
          <w:lang w:val="en-GB"/>
        </w:rPr>
        <w:t>(cost of goods sold / average inventory), (balance sheet)</w:t>
      </w:r>
    </w:p>
    <w:p w:rsidR="002B65A9" w:rsidRPr="00B01A77" w:rsidRDefault="002B65A9" w:rsidP="002B65A9">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Operating Cycle = </w:t>
      </w:r>
      <w:r w:rsidRPr="00B01A77">
        <w:rPr>
          <w:rFonts w:asciiTheme="majorBidi" w:hAnsiTheme="majorBidi" w:cstheme="majorBidi"/>
          <w:sz w:val="24"/>
          <w:szCs w:val="24"/>
          <w:vertAlign w:val="subscript"/>
          <w:lang w:val="en-GB"/>
        </w:rPr>
        <w:t>(365 Days/ AR turnover) + (365 Days/ inventory turnover), (balance sheet)</w:t>
      </w:r>
    </w:p>
    <w:p w:rsidR="002B65A9" w:rsidRPr="00B01A77" w:rsidRDefault="002B65A9" w:rsidP="002B65A9">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Dividend per share = </w:t>
      </w:r>
      <w:r w:rsidRPr="00B01A77">
        <w:rPr>
          <w:rFonts w:asciiTheme="majorBidi" w:hAnsiTheme="majorBidi" w:cstheme="majorBidi"/>
          <w:sz w:val="24"/>
          <w:szCs w:val="24"/>
          <w:vertAlign w:val="subscript"/>
          <w:lang w:val="en-GB"/>
        </w:rPr>
        <w:t xml:space="preserve">total dividends/outstanding </w:t>
      </w:r>
      <w:proofErr w:type="gramStart"/>
      <w:r w:rsidRPr="00B01A77">
        <w:rPr>
          <w:rFonts w:asciiTheme="majorBidi" w:hAnsiTheme="majorBidi" w:cstheme="majorBidi"/>
          <w:sz w:val="24"/>
          <w:szCs w:val="24"/>
          <w:vertAlign w:val="subscript"/>
          <w:lang w:val="en-GB"/>
        </w:rPr>
        <w:t>shares  (</w:t>
      </w:r>
      <w:proofErr w:type="gramEnd"/>
      <w:r w:rsidRPr="00B01A77">
        <w:rPr>
          <w:rFonts w:asciiTheme="majorBidi" w:hAnsiTheme="majorBidi" w:cstheme="majorBidi"/>
          <w:sz w:val="24"/>
          <w:szCs w:val="24"/>
          <w:vertAlign w:val="subscript"/>
          <w:lang w:val="en-GB"/>
        </w:rPr>
        <w:t>balance sheet)</w:t>
      </w:r>
    </w:p>
    <w:p w:rsidR="002B65A9" w:rsidRPr="00B01A77" w:rsidRDefault="002B65A9" w:rsidP="002B65A9">
      <w:pPr>
        <w:rPr>
          <w:rFonts w:asciiTheme="majorBidi" w:hAnsiTheme="majorBidi" w:cstheme="majorBidi"/>
          <w:sz w:val="24"/>
          <w:szCs w:val="24"/>
          <w:vertAlign w:val="subscript"/>
          <w:lang w:val="en-GB"/>
        </w:rPr>
      </w:pPr>
      <w:r w:rsidRPr="00B01A77">
        <w:rPr>
          <w:rFonts w:asciiTheme="majorBidi" w:hAnsiTheme="majorBidi" w:cstheme="majorBidi"/>
          <w:color w:val="111111"/>
          <w:sz w:val="24"/>
          <w:szCs w:val="24"/>
          <w:vertAlign w:val="subscript"/>
        </w:rPr>
        <w:t xml:space="preserve">Dividend Yield = </w:t>
      </w:r>
      <w:r w:rsidRPr="00B01A77">
        <w:rPr>
          <w:rFonts w:asciiTheme="majorBidi" w:hAnsiTheme="majorBidi" w:cstheme="majorBidi"/>
          <w:sz w:val="24"/>
          <w:szCs w:val="24"/>
          <w:vertAlign w:val="subscript"/>
          <w:lang w:val="en-GB"/>
        </w:rPr>
        <w:t>(dividend per share) / (total equity of last year / outstanding shares of last year), (balance sheet)</w:t>
      </w:r>
    </w:p>
    <w:p w:rsidR="003926E5" w:rsidRPr="00B01A77" w:rsidRDefault="003926E5" w:rsidP="002B65A9">
      <w:pPr>
        <w:rPr>
          <w:rFonts w:asciiTheme="majorBidi" w:hAnsiTheme="majorBidi" w:cstheme="majorBidi"/>
          <w:sz w:val="24"/>
          <w:szCs w:val="24"/>
          <w:vertAlign w:val="subscript"/>
          <w:lang w:val="en-GB"/>
        </w:rPr>
      </w:pPr>
    </w:p>
    <w:p w:rsidR="003926E5" w:rsidRPr="00B01A77" w:rsidRDefault="003926E5" w:rsidP="002B65A9">
      <w:pPr>
        <w:rPr>
          <w:rFonts w:asciiTheme="majorBidi" w:hAnsiTheme="majorBidi" w:cstheme="majorBidi"/>
          <w:sz w:val="24"/>
          <w:szCs w:val="24"/>
          <w:vertAlign w:val="subscript"/>
          <w:lang w:val="en-GB"/>
        </w:rPr>
      </w:pPr>
    </w:p>
    <w:p w:rsidR="003926E5" w:rsidRPr="00B01A77" w:rsidRDefault="003926E5" w:rsidP="002B65A9">
      <w:pPr>
        <w:rPr>
          <w:rFonts w:asciiTheme="majorBidi" w:hAnsiTheme="majorBidi" w:cstheme="majorBidi"/>
          <w:sz w:val="24"/>
          <w:szCs w:val="24"/>
          <w:vertAlign w:val="subscript"/>
          <w:lang w:val="en-GB"/>
        </w:rPr>
      </w:pPr>
    </w:p>
    <w:p w:rsidR="003926E5" w:rsidRPr="00B01A77" w:rsidRDefault="003926E5" w:rsidP="002B65A9">
      <w:pPr>
        <w:rPr>
          <w:rFonts w:asciiTheme="majorBidi" w:hAnsiTheme="majorBidi" w:cstheme="majorBidi"/>
          <w:sz w:val="24"/>
          <w:szCs w:val="24"/>
          <w:vertAlign w:val="subscript"/>
          <w:lang w:val="en-GB"/>
        </w:rPr>
      </w:pPr>
    </w:p>
    <w:p w:rsidR="003926E5" w:rsidRPr="00B01A77" w:rsidRDefault="003926E5" w:rsidP="002B65A9">
      <w:pPr>
        <w:rPr>
          <w:rFonts w:asciiTheme="majorBidi" w:hAnsiTheme="majorBidi" w:cstheme="majorBidi"/>
          <w:sz w:val="24"/>
          <w:szCs w:val="24"/>
          <w:vertAlign w:val="subscript"/>
          <w:lang w:val="en-GB"/>
        </w:rPr>
      </w:pPr>
    </w:p>
    <w:p w:rsidR="003926E5" w:rsidRPr="00B01A77" w:rsidRDefault="003926E5" w:rsidP="002B65A9">
      <w:pPr>
        <w:rPr>
          <w:rFonts w:asciiTheme="majorBidi" w:hAnsiTheme="majorBidi" w:cstheme="majorBidi"/>
          <w:color w:val="111111"/>
          <w:sz w:val="24"/>
          <w:szCs w:val="24"/>
          <w:vertAlign w:val="subscript"/>
        </w:rPr>
      </w:pPr>
    </w:p>
    <w:p w:rsidR="003926E5" w:rsidRPr="00B01A77" w:rsidRDefault="007210E0" w:rsidP="003926E5">
      <w:pPr>
        <w:rPr>
          <w:rFonts w:asciiTheme="majorBidi" w:hAnsiTheme="majorBidi" w:cstheme="majorBidi"/>
          <w:b/>
          <w:bCs/>
          <w:sz w:val="24"/>
          <w:szCs w:val="24"/>
        </w:rPr>
      </w:pPr>
      <w:r w:rsidRPr="00B01A77">
        <w:rPr>
          <w:rFonts w:asciiTheme="majorBidi" w:hAnsiTheme="majorBidi" w:cstheme="majorBidi"/>
          <w:b/>
          <w:bCs/>
          <w:sz w:val="24"/>
          <w:szCs w:val="24"/>
        </w:rPr>
        <w:lastRenderedPageBreak/>
        <w:t>Appendix B</w:t>
      </w:r>
      <w:r w:rsidR="003926E5" w:rsidRPr="00B01A77">
        <w:rPr>
          <w:rFonts w:asciiTheme="majorBidi" w:hAnsiTheme="majorBidi" w:cstheme="majorBidi"/>
          <w:b/>
          <w:bCs/>
          <w:sz w:val="24"/>
          <w:szCs w:val="24"/>
        </w:rPr>
        <w:t>: Ratio analysis</w:t>
      </w:r>
    </w:p>
    <w:p w:rsidR="003926E5" w:rsidRPr="00B01A77" w:rsidRDefault="003926E5" w:rsidP="003926E5">
      <w:pPr>
        <w:rPr>
          <w:rFonts w:asciiTheme="majorBidi" w:hAnsiTheme="majorBidi" w:cstheme="majorBidi"/>
          <w:b/>
          <w:bCs/>
          <w:sz w:val="24"/>
          <w:szCs w:val="24"/>
        </w:rPr>
      </w:pPr>
      <w:r w:rsidRPr="00B01A77">
        <w:rPr>
          <w:rFonts w:asciiTheme="majorBidi" w:hAnsiTheme="majorBidi" w:cstheme="majorBidi"/>
          <w:b/>
          <w:bCs/>
          <w:sz w:val="24"/>
          <w:szCs w:val="24"/>
        </w:rPr>
        <w:t xml:space="preserve">Company Name: Target Corporation </w:t>
      </w:r>
    </w:p>
    <w:p w:rsidR="003926E5" w:rsidRPr="00B01A77" w:rsidRDefault="003926E5" w:rsidP="003926E5">
      <w:pPr>
        <w:rPr>
          <w:rFonts w:asciiTheme="majorBidi" w:hAnsiTheme="majorBidi" w:cstheme="majorBidi"/>
          <w:b/>
          <w:bCs/>
          <w:sz w:val="24"/>
          <w:szCs w:val="24"/>
        </w:rPr>
      </w:pPr>
      <w:r w:rsidRPr="00B01A77">
        <w:rPr>
          <w:rFonts w:asciiTheme="majorBidi" w:hAnsiTheme="majorBidi" w:cstheme="majorBidi"/>
          <w:b/>
          <w:bCs/>
          <w:sz w:val="24"/>
          <w:szCs w:val="24"/>
        </w:rPr>
        <w:t>Years: 2017-2018</w:t>
      </w:r>
    </w:p>
    <w:p w:rsidR="003926E5" w:rsidRPr="00B01A77" w:rsidRDefault="003926E5" w:rsidP="003926E5">
      <w:pPr>
        <w:rPr>
          <w:rFonts w:asciiTheme="majorBidi" w:hAnsiTheme="majorBidi" w:cstheme="majorBidi"/>
          <w:sz w:val="24"/>
          <w:szCs w:val="24"/>
          <w:vertAlign w:val="subscript"/>
        </w:rPr>
      </w:pPr>
    </w:p>
    <w:tbl>
      <w:tblPr>
        <w:tblW w:w="13911" w:type="dxa"/>
        <w:tblInd w:w="50" w:type="dxa"/>
        <w:tblLayout w:type="fixed"/>
        <w:tblLook w:val="04A0" w:firstRow="1" w:lastRow="0" w:firstColumn="1" w:lastColumn="0" w:noHBand="0" w:noVBand="1"/>
      </w:tblPr>
      <w:tblGrid>
        <w:gridCol w:w="2592"/>
        <w:gridCol w:w="2117"/>
        <w:gridCol w:w="1325"/>
        <w:gridCol w:w="2837"/>
        <w:gridCol w:w="1325"/>
        <w:gridCol w:w="2477"/>
        <w:gridCol w:w="1238"/>
      </w:tblGrid>
      <w:tr w:rsidR="003926E5" w:rsidRPr="00B01A77" w:rsidTr="003926E5">
        <w:trPr>
          <w:trHeight w:val="285"/>
        </w:trPr>
        <w:tc>
          <w:tcPr>
            <w:tcW w:w="25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 </w:t>
            </w:r>
          </w:p>
        </w:tc>
        <w:tc>
          <w:tcPr>
            <w:tcW w:w="2117" w:type="dxa"/>
            <w:tcBorders>
              <w:top w:val="single" w:sz="4" w:space="0" w:color="auto"/>
              <w:left w:val="nil"/>
              <w:bottom w:val="single" w:sz="4" w:space="0" w:color="auto"/>
              <w:right w:val="single" w:sz="4" w:space="0" w:color="auto"/>
            </w:tcBorders>
            <w:shd w:val="clear" w:color="auto" w:fill="A8D08D" w:themeFill="accent6" w:themeFillTint="99"/>
          </w:tcPr>
          <w:p w:rsidR="003926E5" w:rsidRPr="00B01A77" w:rsidRDefault="003926E5"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2016 Calculation</w:t>
            </w:r>
          </w:p>
        </w:tc>
        <w:tc>
          <w:tcPr>
            <w:tcW w:w="1325" w:type="dxa"/>
            <w:tcBorders>
              <w:top w:val="single" w:sz="8" w:space="0" w:color="auto"/>
              <w:left w:val="single" w:sz="4" w:space="0" w:color="auto"/>
              <w:bottom w:val="single" w:sz="8" w:space="0" w:color="auto"/>
              <w:right w:val="single" w:sz="4" w:space="0" w:color="auto"/>
            </w:tcBorders>
            <w:shd w:val="clear" w:color="auto" w:fill="A8D08D" w:themeFill="accent6" w:themeFillTint="99"/>
          </w:tcPr>
          <w:p w:rsidR="003926E5" w:rsidRPr="00B01A77" w:rsidRDefault="003926E5"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2016</w:t>
            </w:r>
          </w:p>
        </w:tc>
        <w:tc>
          <w:tcPr>
            <w:tcW w:w="2837" w:type="dxa"/>
            <w:tcBorders>
              <w:top w:val="single" w:sz="8" w:space="0" w:color="auto"/>
              <w:left w:val="single" w:sz="4" w:space="0" w:color="auto"/>
              <w:bottom w:val="single" w:sz="8" w:space="0" w:color="auto"/>
              <w:right w:val="single" w:sz="8"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2017 Calculation</w:t>
            </w:r>
          </w:p>
        </w:tc>
        <w:tc>
          <w:tcPr>
            <w:tcW w:w="1325" w:type="dxa"/>
            <w:tcBorders>
              <w:top w:val="single" w:sz="8" w:space="0" w:color="auto"/>
              <w:left w:val="nil"/>
              <w:bottom w:val="single" w:sz="8" w:space="0" w:color="auto"/>
              <w:right w:val="single" w:sz="8"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2017</w:t>
            </w:r>
          </w:p>
        </w:tc>
        <w:tc>
          <w:tcPr>
            <w:tcW w:w="2477" w:type="dxa"/>
            <w:tcBorders>
              <w:top w:val="single" w:sz="8" w:space="0" w:color="auto"/>
              <w:left w:val="nil"/>
              <w:bottom w:val="single" w:sz="8" w:space="0" w:color="auto"/>
              <w:right w:val="single" w:sz="8"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2018 Calculation</w:t>
            </w:r>
          </w:p>
        </w:tc>
        <w:tc>
          <w:tcPr>
            <w:tcW w:w="1238" w:type="dxa"/>
            <w:tcBorders>
              <w:top w:val="single" w:sz="8" w:space="0" w:color="auto"/>
              <w:left w:val="nil"/>
              <w:bottom w:val="single" w:sz="8" w:space="0" w:color="auto"/>
              <w:right w:val="single" w:sz="8"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2018</w:t>
            </w:r>
          </w:p>
        </w:tc>
      </w:tr>
      <w:tr w:rsidR="003926E5" w:rsidRPr="00B01A77" w:rsidTr="003926E5">
        <w:trPr>
          <w:trHeight w:val="267"/>
        </w:trPr>
        <w:tc>
          <w:tcPr>
            <w:tcW w:w="2592" w:type="dxa"/>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Gross profit percent</w:t>
            </w:r>
          </w:p>
        </w:tc>
        <w:tc>
          <w:tcPr>
            <w:tcW w:w="2117" w:type="dxa"/>
            <w:tcBorders>
              <w:top w:val="single" w:sz="4" w:space="0" w:color="auto"/>
              <w:left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(21,788 / 73,785)*100</w:t>
            </w:r>
          </w:p>
        </w:tc>
        <w:tc>
          <w:tcPr>
            <w:tcW w:w="1325" w:type="dxa"/>
            <w:tcBorders>
              <w:top w:val="nil"/>
              <w:left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29.5%</w:t>
            </w:r>
          </w:p>
        </w:tc>
        <w:tc>
          <w:tcPr>
            <w:tcW w:w="2837" w:type="dxa"/>
            <w:tcBorders>
              <w:top w:val="nil"/>
              <w:left w:val="single" w:sz="4"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(20,350 / 69,495)*100</w:t>
            </w:r>
          </w:p>
        </w:tc>
        <w:tc>
          <w:tcPr>
            <w:tcW w:w="1325"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29.3%</w:t>
            </w:r>
          </w:p>
        </w:tc>
        <w:tc>
          <w:tcPr>
            <w:tcW w:w="2477"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(20,754/ 71,879)*100</w:t>
            </w:r>
          </w:p>
        </w:tc>
        <w:tc>
          <w:tcPr>
            <w:tcW w:w="1238"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28.9%</w:t>
            </w:r>
          </w:p>
        </w:tc>
      </w:tr>
      <w:tr w:rsidR="003926E5" w:rsidRPr="00B01A77" w:rsidTr="003926E5">
        <w:trPr>
          <w:trHeight w:val="43"/>
        </w:trPr>
        <w:tc>
          <w:tcPr>
            <w:tcW w:w="2592" w:type="dxa"/>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3926E5" w:rsidRPr="00B01A77" w:rsidRDefault="003926E5" w:rsidP="00285C14">
            <w:pPr>
              <w:rPr>
                <w:rFonts w:asciiTheme="majorBidi" w:hAnsiTheme="majorBidi" w:cstheme="majorBidi"/>
                <w:b/>
                <w:bCs/>
                <w:i/>
                <w:iCs/>
                <w:sz w:val="24"/>
                <w:szCs w:val="24"/>
                <w:vertAlign w:val="subscript"/>
              </w:rPr>
            </w:pPr>
          </w:p>
        </w:tc>
        <w:tc>
          <w:tcPr>
            <w:tcW w:w="2117" w:type="dxa"/>
            <w:tcBorders>
              <w:left w:val="single" w:sz="4" w:space="0" w:color="auto"/>
              <w:bottom w:val="single" w:sz="4" w:space="0" w:color="auto"/>
              <w:right w:val="single" w:sz="4" w:space="0" w:color="auto"/>
            </w:tcBorders>
            <w:vAlign w:val="center"/>
          </w:tcPr>
          <w:p w:rsidR="003926E5" w:rsidRPr="00B01A77" w:rsidRDefault="003926E5" w:rsidP="00285C14">
            <w:pPr>
              <w:rPr>
                <w:rFonts w:asciiTheme="majorBidi" w:hAnsiTheme="majorBidi" w:cstheme="majorBidi"/>
                <w:sz w:val="24"/>
                <w:szCs w:val="24"/>
                <w:vertAlign w:val="subscript"/>
              </w:rPr>
            </w:pPr>
          </w:p>
        </w:tc>
        <w:tc>
          <w:tcPr>
            <w:tcW w:w="1325" w:type="dxa"/>
            <w:tcBorders>
              <w:left w:val="single" w:sz="4" w:space="0" w:color="auto"/>
              <w:bottom w:val="single" w:sz="8" w:space="0" w:color="000000"/>
              <w:right w:val="single" w:sz="4" w:space="0" w:color="auto"/>
            </w:tcBorders>
            <w:vAlign w:val="center"/>
          </w:tcPr>
          <w:p w:rsidR="003926E5" w:rsidRPr="00B01A77" w:rsidRDefault="003926E5" w:rsidP="00285C14">
            <w:pPr>
              <w:rPr>
                <w:rFonts w:asciiTheme="majorBidi" w:hAnsiTheme="majorBidi" w:cstheme="majorBidi"/>
                <w:sz w:val="24"/>
                <w:szCs w:val="24"/>
                <w:vertAlign w:val="subscript"/>
              </w:rPr>
            </w:pPr>
          </w:p>
        </w:tc>
        <w:tc>
          <w:tcPr>
            <w:tcW w:w="2837" w:type="dxa"/>
            <w:tcBorders>
              <w:top w:val="nil"/>
              <w:left w:val="single" w:sz="4" w:space="0" w:color="auto"/>
              <w:bottom w:val="single" w:sz="8" w:space="0" w:color="000000"/>
              <w:right w:val="single" w:sz="8" w:space="0" w:color="auto"/>
            </w:tcBorders>
            <w:vAlign w:val="center"/>
            <w:hideMark/>
          </w:tcPr>
          <w:p w:rsidR="003926E5" w:rsidRPr="00B01A77" w:rsidRDefault="003926E5" w:rsidP="00285C14">
            <w:pPr>
              <w:rPr>
                <w:rFonts w:asciiTheme="majorBidi" w:hAnsiTheme="majorBidi" w:cstheme="majorBidi"/>
                <w:sz w:val="24"/>
                <w:szCs w:val="24"/>
                <w:vertAlign w:val="subscript"/>
              </w:rPr>
            </w:pPr>
          </w:p>
        </w:tc>
        <w:tc>
          <w:tcPr>
            <w:tcW w:w="1325"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rPr>
                <w:rFonts w:asciiTheme="majorBidi" w:hAnsiTheme="majorBidi" w:cstheme="majorBidi"/>
                <w:sz w:val="24"/>
                <w:szCs w:val="24"/>
                <w:vertAlign w:val="subscript"/>
              </w:rPr>
            </w:pPr>
          </w:p>
        </w:tc>
        <w:tc>
          <w:tcPr>
            <w:tcW w:w="2477"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rPr>
                <w:rFonts w:asciiTheme="majorBidi" w:hAnsiTheme="majorBidi" w:cstheme="majorBidi"/>
                <w:sz w:val="24"/>
                <w:szCs w:val="24"/>
                <w:vertAlign w:val="subscript"/>
              </w:rPr>
            </w:pPr>
          </w:p>
        </w:tc>
        <w:tc>
          <w:tcPr>
            <w:tcW w:w="1238"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rPr>
                <w:rFonts w:asciiTheme="majorBidi" w:hAnsiTheme="majorBidi" w:cstheme="majorBidi"/>
                <w:sz w:val="24"/>
                <w:szCs w:val="24"/>
                <w:vertAlign w:val="subscript"/>
              </w:rPr>
            </w:pPr>
          </w:p>
        </w:tc>
      </w:tr>
      <w:tr w:rsidR="003926E5" w:rsidRPr="00B01A77" w:rsidTr="003926E5">
        <w:trPr>
          <w:trHeight w:val="558"/>
        </w:trPr>
        <w:tc>
          <w:tcPr>
            <w:tcW w:w="2592" w:type="dxa"/>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Revenues/year</w:t>
            </w: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(given)</w:t>
            </w:r>
          </w:p>
        </w:tc>
        <w:tc>
          <w:tcPr>
            <w:tcW w:w="1325" w:type="dxa"/>
            <w:tcBorders>
              <w:top w:val="nil"/>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73,785</w:t>
            </w: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(given)</w:t>
            </w:r>
          </w:p>
        </w:tc>
        <w:tc>
          <w:tcPr>
            <w:tcW w:w="1325"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69,495</w:t>
            </w: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(given)</w:t>
            </w:r>
          </w:p>
        </w:tc>
        <w:tc>
          <w:tcPr>
            <w:tcW w:w="1238"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71,879</w:t>
            </w:r>
          </w:p>
        </w:tc>
      </w:tr>
      <w:tr w:rsidR="003926E5" w:rsidRPr="00B01A77" w:rsidTr="003926E5">
        <w:trPr>
          <w:trHeight w:val="443"/>
        </w:trPr>
        <w:tc>
          <w:tcPr>
            <w:tcW w:w="2592" w:type="dxa"/>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Administrative expenses</w:t>
            </w: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(given)</w:t>
            </w:r>
          </w:p>
        </w:tc>
        <w:tc>
          <w:tcPr>
            <w:tcW w:w="1325" w:type="dxa"/>
            <w:tcBorders>
              <w:top w:val="nil"/>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14,665</w:t>
            </w: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(given)</w:t>
            </w:r>
          </w:p>
        </w:tc>
        <w:tc>
          <w:tcPr>
            <w:tcW w:w="1325"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13,313</w:t>
            </w: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(given)</w:t>
            </w:r>
          </w:p>
        </w:tc>
        <w:tc>
          <w:tcPr>
            <w:tcW w:w="1238"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14,157</w:t>
            </w:r>
          </w:p>
        </w:tc>
      </w:tr>
      <w:tr w:rsidR="003926E5" w:rsidRPr="00B01A77" w:rsidTr="003926E5">
        <w:trPr>
          <w:trHeight w:val="558"/>
        </w:trPr>
        <w:tc>
          <w:tcPr>
            <w:tcW w:w="2592" w:type="dxa"/>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 xml:space="preserve">Working Capital </w:t>
            </w: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14,130 – 12,622</w:t>
            </w:r>
          </w:p>
        </w:tc>
        <w:tc>
          <w:tcPr>
            <w:tcW w:w="1325" w:type="dxa"/>
            <w:tcBorders>
              <w:top w:val="nil"/>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1,508</w:t>
            </w: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11,990 – 12,708</w:t>
            </w:r>
          </w:p>
        </w:tc>
        <w:tc>
          <w:tcPr>
            <w:tcW w:w="1325"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(718)</w:t>
            </w: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12,540 – 13,052</w:t>
            </w:r>
          </w:p>
        </w:tc>
        <w:tc>
          <w:tcPr>
            <w:tcW w:w="1238"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(512)</w:t>
            </w:r>
          </w:p>
        </w:tc>
      </w:tr>
      <w:tr w:rsidR="003926E5" w:rsidRPr="00B01A77" w:rsidTr="003926E5">
        <w:trPr>
          <w:trHeight w:val="558"/>
        </w:trPr>
        <w:tc>
          <w:tcPr>
            <w:tcW w:w="2592" w:type="dxa"/>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Debt to equity</w:t>
            </w: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12,760 / 12,957</w:t>
            </w:r>
          </w:p>
        </w:tc>
        <w:tc>
          <w:tcPr>
            <w:tcW w:w="1325" w:type="dxa"/>
            <w:tcBorders>
              <w:top w:val="nil"/>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0.98</w:t>
            </w: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12,749 / 10,953</w:t>
            </w:r>
          </w:p>
        </w:tc>
        <w:tc>
          <w:tcPr>
            <w:tcW w:w="1325"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1.16</w:t>
            </w: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11,398 / 11,651</w:t>
            </w:r>
          </w:p>
        </w:tc>
        <w:tc>
          <w:tcPr>
            <w:tcW w:w="1238"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0.98</w:t>
            </w:r>
          </w:p>
        </w:tc>
      </w:tr>
      <w:tr w:rsidR="003926E5" w:rsidRPr="00B01A77" w:rsidTr="003926E5">
        <w:trPr>
          <w:trHeight w:val="258"/>
        </w:trPr>
        <w:tc>
          <w:tcPr>
            <w:tcW w:w="2592" w:type="dxa"/>
            <w:vMerge w:val="restart"/>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 xml:space="preserve">Return on equity </w:t>
            </w:r>
          </w:p>
        </w:tc>
        <w:tc>
          <w:tcPr>
            <w:tcW w:w="2117" w:type="dxa"/>
            <w:tcBorders>
              <w:top w:val="single" w:sz="4" w:space="0" w:color="auto"/>
              <w:left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not enough information is given from 2015 to determine average equity</w:t>
            </w:r>
          </w:p>
        </w:tc>
        <w:tc>
          <w:tcPr>
            <w:tcW w:w="1325" w:type="dxa"/>
            <w:tcBorders>
              <w:top w:val="nil"/>
              <w:left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tc>
        <w:tc>
          <w:tcPr>
            <w:tcW w:w="2837" w:type="dxa"/>
            <w:tcBorders>
              <w:top w:val="nil"/>
              <w:left w:val="single" w:sz="4" w:space="0" w:color="auto"/>
              <w:bottom w:val="nil"/>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2,737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(12,957 + 10,953) / 2</w:t>
            </w:r>
          </w:p>
        </w:tc>
        <w:tc>
          <w:tcPr>
            <w:tcW w:w="1325" w:type="dxa"/>
            <w:vMerge w:val="restart"/>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22.3%</w:t>
            </w:r>
          </w:p>
        </w:tc>
        <w:tc>
          <w:tcPr>
            <w:tcW w:w="2477" w:type="dxa"/>
            <w:tcBorders>
              <w:top w:val="nil"/>
              <w:left w:val="nil"/>
              <w:bottom w:val="nil"/>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2,934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(10,953 + 11,651) / 2</w:t>
            </w:r>
          </w:p>
        </w:tc>
        <w:tc>
          <w:tcPr>
            <w:tcW w:w="1238" w:type="dxa"/>
            <w:vMerge w:val="restart"/>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22.5%</w:t>
            </w:r>
          </w:p>
        </w:tc>
      </w:tr>
      <w:tr w:rsidR="003926E5" w:rsidRPr="00B01A77" w:rsidTr="003926E5">
        <w:trPr>
          <w:trHeight w:val="43"/>
        </w:trPr>
        <w:tc>
          <w:tcPr>
            <w:tcW w:w="2592" w:type="dxa"/>
            <w:vMerge/>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3926E5" w:rsidRPr="00B01A77" w:rsidRDefault="003926E5" w:rsidP="00285C14">
            <w:pPr>
              <w:rPr>
                <w:rFonts w:asciiTheme="majorBidi" w:hAnsiTheme="majorBidi" w:cstheme="majorBidi"/>
                <w:b/>
                <w:bCs/>
                <w:i/>
                <w:iCs/>
                <w:sz w:val="24"/>
                <w:szCs w:val="24"/>
                <w:vertAlign w:val="subscript"/>
              </w:rPr>
            </w:pPr>
          </w:p>
        </w:tc>
        <w:tc>
          <w:tcPr>
            <w:tcW w:w="2117" w:type="dxa"/>
            <w:tcBorders>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tc>
        <w:tc>
          <w:tcPr>
            <w:tcW w:w="1325" w:type="dxa"/>
            <w:tcBorders>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p>
        </w:tc>
        <w:tc>
          <w:tcPr>
            <w:tcW w:w="1325" w:type="dxa"/>
            <w:vMerge/>
            <w:tcBorders>
              <w:top w:val="nil"/>
              <w:left w:val="single" w:sz="8" w:space="0" w:color="auto"/>
              <w:bottom w:val="single" w:sz="8" w:space="0" w:color="000000"/>
              <w:right w:val="single" w:sz="8" w:space="0" w:color="auto"/>
            </w:tcBorders>
            <w:vAlign w:val="center"/>
            <w:hideMark/>
          </w:tcPr>
          <w:p w:rsidR="003926E5" w:rsidRPr="00B01A77" w:rsidRDefault="003926E5" w:rsidP="00285C14">
            <w:pPr>
              <w:rPr>
                <w:rFonts w:asciiTheme="majorBidi" w:hAnsiTheme="majorBidi" w:cstheme="majorBidi"/>
                <w:sz w:val="24"/>
                <w:szCs w:val="24"/>
                <w:vertAlign w:val="subscript"/>
              </w:rPr>
            </w:pP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p>
        </w:tc>
        <w:tc>
          <w:tcPr>
            <w:tcW w:w="1238" w:type="dxa"/>
            <w:vMerge/>
            <w:tcBorders>
              <w:top w:val="nil"/>
              <w:left w:val="single" w:sz="8" w:space="0" w:color="auto"/>
              <w:bottom w:val="single" w:sz="8" w:space="0" w:color="000000"/>
              <w:right w:val="single" w:sz="8" w:space="0" w:color="auto"/>
            </w:tcBorders>
            <w:vAlign w:val="center"/>
            <w:hideMark/>
          </w:tcPr>
          <w:p w:rsidR="003926E5" w:rsidRPr="00B01A77" w:rsidRDefault="003926E5" w:rsidP="00285C14">
            <w:pPr>
              <w:rPr>
                <w:rFonts w:asciiTheme="majorBidi" w:hAnsiTheme="majorBidi" w:cstheme="majorBidi"/>
                <w:sz w:val="24"/>
                <w:szCs w:val="24"/>
                <w:vertAlign w:val="subscript"/>
              </w:rPr>
            </w:pPr>
          </w:p>
        </w:tc>
      </w:tr>
      <w:tr w:rsidR="003926E5" w:rsidRPr="00B01A77" w:rsidTr="003926E5">
        <w:trPr>
          <w:trHeight w:val="285"/>
        </w:trPr>
        <w:tc>
          <w:tcPr>
            <w:tcW w:w="2592" w:type="dxa"/>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EPS</w:t>
            </w: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3,363/633</w:t>
            </w:r>
          </w:p>
        </w:tc>
        <w:tc>
          <w:tcPr>
            <w:tcW w:w="1325" w:type="dxa"/>
            <w:tcBorders>
              <w:top w:val="nil"/>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5.31</w:t>
            </w: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2,737 / 583</w:t>
            </w:r>
          </w:p>
        </w:tc>
        <w:tc>
          <w:tcPr>
            <w:tcW w:w="1325"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4.70</w:t>
            </w: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2,934 / 550</w:t>
            </w:r>
          </w:p>
        </w:tc>
        <w:tc>
          <w:tcPr>
            <w:tcW w:w="1238"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5.33</w:t>
            </w:r>
          </w:p>
        </w:tc>
      </w:tr>
      <w:tr w:rsidR="003926E5" w:rsidRPr="00B01A77" w:rsidTr="003926E5">
        <w:trPr>
          <w:trHeight w:val="558"/>
        </w:trPr>
        <w:tc>
          <w:tcPr>
            <w:tcW w:w="2592" w:type="dxa"/>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Current ratio</w:t>
            </w: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14,130 / 12,622</w:t>
            </w:r>
          </w:p>
        </w:tc>
        <w:tc>
          <w:tcPr>
            <w:tcW w:w="1325" w:type="dxa"/>
            <w:tcBorders>
              <w:top w:val="nil"/>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1.11</w:t>
            </w: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11,990 / 12,708</w:t>
            </w:r>
          </w:p>
        </w:tc>
        <w:tc>
          <w:tcPr>
            <w:tcW w:w="1325"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0.94</w:t>
            </w: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12,540 / 13,052</w:t>
            </w:r>
          </w:p>
        </w:tc>
        <w:tc>
          <w:tcPr>
            <w:tcW w:w="1238"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0.96</w:t>
            </w:r>
          </w:p>
        </w:tc>
      </w:tr>
      <w:tr w:rsidR="003926E5" w:rsidRPr="00B01A77" w:rsidTr="003926E5">
        <w:trPr>
          <w:trHeight w:val="285"/>
        </w:trPr>
        <w:tc>
          <w:tcPr>
            <w:tcW w:w="2592" w:type="dxa"/>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 xml:space="preserve">Quick ratio </w:t>
            </w: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(14,130-8,601) / 12,662</w:t>
            </w:r>
          </w:p>
        </w:tc>
        <w:tc>
          <w:tcPr>
            <w:tcW w:w="1325" w:type="dxa"/>
            <w:tcBorders>
              <w:top w:val="nil"/>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0.43</w:t>
            </w: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(11,990 - 8,309) / 12,708</w:t>
            </w:r>
          </w:p>
        </w:tc>
        <w:tc>
          <w:tcPr>
            <w:tcW w:w="1325"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0.29</w:t>
            </w: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(12,540 – 8,597) / 13,052</w:t>
            </w:r>
          </w:p>
        </w:tc>
        <w:tc>
          <w:tcPr>
            <w:tcW w:w="1238"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0.30</w:t>
            </w:r>
          </w:p>
        </w:tc>
      </w:tr>
      <w:tr w:rsidR="003926E5" w:rsidRPr="00B01A77" w:rsidTr="003926E5">
        <w:trPr>
          <w:trHeight w:val="814"/>
        </w:trPr>
        <w:tc>
          <w:tcPr>
            <w:tcW w:w="2592" w:type="dxa"/>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Accounts Receivable turnover rate</w:t>
            </w: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not enough information is given from 2015 to determine average AR</w:t>
            </w:r>
          </w:p>
        </w:tc>
        <w:tc>
          <w:tcPr>
            <w:tcW w:w="1325" w:type="dxa"/>
            <w:tcBorders>
              <w:top w:val="nil"/>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69,495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((779 + 749) / 2)</w:t>
            </w:r>
          </w:p>
        </w:tc>
        <w:tc>
          <w:tcPr>
            <w:tcW w:w="1325"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91.38</w:t>
            </w: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71,879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((749 + 0) / 2)</w:t>
            </w:r>
          </w:p>
        </w:tc>
        <w:tc>
          <w:tcPr>
            <w:tcW w:w="1238"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191.93</w:t>
            </w:r>
          </w:p>
        </w:tc>
      </w:tr>
      <w:tr w:rsidR="003926E5" w:rsidRPr="00B01A77" w:rsidTr="003926E5">
        <w:trPr>
          <w:trHeight w:val="818"/>
        </w:trPr>
        <w:tc>
          <w:tcPr>
            <w:tcW w:w="2592" w:type="dxa"/>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Inventory turnover rate</w:t>
            </w:r>
          </w:p>
          <w:p w:rsidR="003926E5" w:rsidRPr="00B01A77" w:rsidRDefault="003926E5" w:rsidP="00285C14">
            <w:pPr>
              <w:pStyle w:val="NoSpacing"/>
              <w:rPr>
                <w:rFonts w:asciiTheme="majorBidi" w:hAnsiTheme="majorBidi" w:cstheme="majorBidi"/>
                <w:b/>
                <w:bCs/>
                <w:i/>
                <w:iCs/>
                <w:sz w:val="24"/>
                <w:szCs w:val="24"/>
                <w:vertAlign w:val="subscript"/>
              </w:rPr>
            </w:pPr>
          </w:p>
        </w:tc>
        <w:tc>
          <w:tcPr>
            <w:tcW w:w="2117" w:type="dxa"/>
            <w:tcBorders>
              <w:top w:val="single" w:sz="4" w:space="0" w:color="auto"/>
              <w:left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not enough information is given from 2015 to determine average inventory</w:t>
            </w:r>
          </w:p>
        </w:tc>
        <w:tc>
          <w:tcPr>
            <w:tcW w:w="1325" w:type="dxa"/>
            <w:tcBorders>
              <w:top w:val="single" w:sz="8"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tc>
        <w:tc>
          <w:tcPr>
            <w:tcW w:w="2837" w:type="dxa"/>
            <w:tcBorders>
              <w:top w:val="nil"/>
              <w:left w:val="single" w:sz="4"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49,145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((8,601 + 8,309) / 2)</w:t>
            </w:r>
          </w:p>
        </w:tc>
        <w:tc>
          <w:tcPr>
            <w:tcW w:w="1325"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5.81</w:t>
            </w:r>
          </w:p>
        </w:tc>
        <w:tc>
          <w:tcPr>
            <w:tcW w:w="2477"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51,125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((8,309 + 8,597) / 2)</w:t>
            </w:r>
          </w:p>
        </w:tc>
        <w:tc>
          <w:tcPr>
            <w:tcW w:w="1238"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6.04</w:t>
            </w:r>
          </w:p>
        </w:tc>
      </w:tr>
      <w:tr w:rsidR="003926E5" w:rsidRPr="00B01A77" w:rsidTr="003926E5">
        <w:trPr>
          <w:trHeight w:val="961"/>
        </w:trPr>
        <w:tc>
          <w:tcPr>
            <w:tcW w:w="2592" w:type="dxa"/>
            <w:tcBorders>
              <w:top w:val="nil"/>
              <w:left w:val="single" w:sz="8" w:space="0" w:color="auto"/>
              <w:bottom w:val="single" w:sz="8" w:space="0" w:color="auto"/>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rPr>
            </w:pPr>
            <w:r w:rsidRPr="00B01A77">
              <w:rPr>
                <w:rFonts w:asciiTheme="majorBidi" w:hAnsiTheme="majorBidi" w:cstheme="majorBidi"/>
                <w:b/>
                <w:bCs/>
                <w:i/>
                <w:iCs/>
                <w:sz w:val="24"/>
                <w:szCs w:val="24"/>
                <w:vertAlign w:val="subscript"/>
                <w:lang w:val="en-GB"/>
              </w:rPr>
              <w:t>Operating cycle</w:t>
            </w: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not enough information is given from 2015 to determine inventory turnover</w:t>
            </w:r>
          </w:p>
        </w:tc>
        <w:tc>
          <w:tcPr>
            <w:tcW w:w="1325" w:type="dxa"/>
            <w:tcBorders>
              <w:top w:val="single" w:sz="4" w:space="0" w:color="auto"/>
              <w:left w:val="single" w:sz="4" w:space="0" w:color="auto"/>
              <w:bottom w:val="single" w:sz="8"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tc>
        <w:tc>
          <w:tcPr>
            <w:tcW w:w="2837" w:type="dxa"/>
            <w:tcBorders>
              <w:top w:val="nil"/>
              <w:left w:val="single" w:sz="4" w:space="0" w:color="auto"/>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365 / 90.96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365 / 5.8</w:t>
            </w:r>
          </w:p>
        </w:tc>
        <w:tc>
          <w:tcPr>
            <w:tcW w:w="1325"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66.94</w:t>
            </w:r>
          </w:p>
        </w:tc>
        <w:tc>
          <w:tcPr>
            <w:tcW w:w="2477"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365 / 191.93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365 / 6.0</w:t>
            </w:r>
          </w:p>
        </w:tc>
        <w:tc>
          <w:tcPr>
            <w:tcW w:w="1238" w:type="dxa"/>
            <w:tcBorders>
              <w:top w:val="nil"/>
              <w:left w:val="nil"/>
              <w:bottom w:val="single" w:sz="8" w:space="0" w:color="auto"/>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62.73</w:t>
            </w:r>
          </w:p>
        </w:tc>
      </w:tr>
      <w:tr w:rsidR="003926E5" w:rsidRPr="00B01A77" w:rsidTr="003926E5">
        <w:trPr>
          <w:trHeight w:val="610"/>
        </w:trPr>
        <w:tc>
          <w:tcPr>
            <w:tcW w:w="2592" w:type="dxa"/>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 xml:space="preserve">Dividend per share </w:t>
            </w:r>
          </w:p>
          <w:p w:rsidR="003926E5" w:rsidRPr="00B01A77" w:rsidRDefault="003926E5" w:rsidP="00285C14">
            <w:pPr>
              <w:pStyle w:val="NoSpacing"/>
              <w:rPr>
                <w:rFonts w:asciiTheme="majorBidi" w:hAnsiTheme="majorBidi" w:cstheme="majorBidi"/>
                <w:b/>
                <w:bCs/>
                <w:i/>
                <w:iCs/>
                <w:sz w:val="24"/>
                <w:szCs w:val="24"/>
                <w:vertAlign w:val="subscript"/>
              </w:rPr>
            </w:pP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1,378/602</w:t>
            </w:r>
          </w:p>
        </w:tc>
        <w:tc>
          <w:tcPr>
            <w:tcW w:w="1325" w:type="dxa"/>
            <w:tcBorders>
              <w:top w:val="nil"/>
              <w:left w:val="single" w:sz="4" w:space="0" w:color="auto"/>
              <w:bottom w:val="single" w:sz="8" w:space="0" w:color="000000"/>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2.29</w:t>
            </w:r>
          </w:p>
        </w:tc>
        <w:tc>
          <w:tcPr>
            <w:tcW w:w="2837" w:type="dxa"/>
            <w:tcBorders>
              <w:top w:val="nil"/>
              <w:left w:val="single" w:sz="4"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1,359 / 556</w:t>
            </w:r>
          </w:p>
        </w:tc>
        <w:tc>
          <w:tcPr>
            <w:tcW w:w="1325"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2.44</w:t>
            </w:r>
          </w:p>
        </w:tc>
        <w:tc>
          <w:tcPr>
            <w:tcW w:w="2477"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1,356 / 542</w:t>
            </w:r>
          </w:p>
        </w:tc>
        <w:tc>
          <w:tcPr>
            <w:tcW w:w="1238"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2.50</w:t>
            </w:r>
          </w:p>
        </w:tc>
      </w:tr>
      <w:tr w:rsidR="003926E5" w:rsidRPr="00B01A77" w:rsidTr="003926E5">
        <w:trPr>
          <w:trHeight w:val="918"/>
        </w:trPr>
        <w:tc>
          <w:tcPr>
            <w:tcW w:w="2592" w:type="dxa"/>
            <w:tcBorders>
              <w:top w:val="nil"/>
              <w:left w:val="single" w:sz="8" w:space="0" w:color="auto"/>
              <w:bottom w:val="single" w:sz="8" w:space="0" w:color="000000"/>
              <w:right w:val="single" w:sz="4" w:space="0" w:color="auto"/>
            </w:tcBorders>
            <w:shd w:val="clear" w:color="auto" w:fill="A8D08D" w:themeFill="accent6" w:themeFillTint="99"/>
            <w:vAlign w:val="center"/>
            <w:hideMark/>
          </w:tcPr>
          <w:p w:rsidR="003926E5" w:rsidRPr="00B01A77" w:rsidRDefault="003926E5" w:rsidP="00285C14">
            <w:pPr>
              <w:pStyle w:val="NoSpacing"/>
              <w:rPr>
                <w:rFonts w:asciiTheme="majorBidi" w:hAnsiTheme="majorBidi" w:cstheme="majorBidi"/>
                <w:b/>
                <w:bCs/>
                <w:i/>
                <w:iCs/>
                <w:sz w:val="24"/>
                <w:szCs w:val="24"/>
                <w:vertAlign w:val="subscript"/>
                <w:lang w:val="en-GB"/>
              </w:rPr>
            </w:pPr>
            <w:r w:rsidRPr="00B01A77">
              <w:rPr>
                <w:rFonts w:asciiTheme="majorBidi" w:hAnsiTheme="majorBidi" w:cstheme="majorBidi"/>
                <w:b/>
                <w:bCs/>
                <w:i/>
                <w:iCs/>
                <w:sz w:val="24"/>
                <w:szCs w:val="24"/>
                <w:vertAlign w:val="subscript"/>
                <w:lang w:val="en-GB"/>
              </w:rPr>
              <w:t>Dividend yield</w:t>
            </w:r>
          </w:p>
          <w:p w:rsidR="003926E5" w:rsidRPr="00B01A77" w:rsidRDefault="003926E5" w:rsidP="00285C14">
            <w:pPr>
              <w:pStyle w:val="NoSpacing"/>
              <w:rPr>
                <w:rFonts w:asciiTheme="majorBidi" w:hAnsiTheme="majorBidi" w:cstheme="majorBidi"/>
                <w:b/>
                <w:bCs/>
                <w:i/>
                <w:iCs/>
                <w:sz w:val="24"/>
                <w:szCs w:val="24"/>
                <w:vertAlign w:val="subscript"/>
              </w:rPr>
            </w:pPr>
          </w:p>
        </w:tc>
        <w:tc>
          <w:tcPr>
            <w:tcW w:w="2117" w:type="dxa"/>
            <w:tcBorders>
              <w:top w:val="single" w:sz="4" w:space="0" w:color="auto"/>
              <w:left w:val="single" w:sz="4" w:space="0" w:color="auto"/>
              <w:bottom w:val="single" w:sz="4" w:space="0" w:color="auto"/>
              <w:right w:val="single" w:sz="4" w:space="0" w:color="auto"/>
            </w:tcBorders>
            <w:vAlign w:val="center"/>
          </w:tcPr>
          <w:p w:rsidR="003926E5" w:rsidRPr="00B01A77" w:rsidRDefault="003926E5" w:rsidP="00285C14">
            <w:pPr>
              <w:tabs>
                <w:tab w:val="left" w:pos="1343"/>
              </w:tabs>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 xml:space="preserve">not enough information is given from 2015 to determine </w:t>
            </w:r>
            <w:proofErr w:type="spellStart"/>
            <w:r w:rsidRPr="00B01A77">
              <w:rPr>
                <w:rFonts w:asciiTheme="majorBidi" w:hAnsiTheme="majorBidi" w:cstheme="majorBidi"/>
                <w:sz w:val="24"/>
                <w:szCs w:val="24"/>
                <w:vertAlign w:val="subscript"/>
              </w:rPr>
              <w:t>ewuity</w:t>
            </w:r>
            <w:proofErr w:type="spellEnd"/>
            <w:r w:rsidRPr="00B01A77">
              <w:rPr>
                <w:rFonts w:asciiTheme="majorBidi" w:hAnsiTheme="majorBidi" w:cstheme="majorBidi"/>
                <w:sz w:val="24"/>
                <w:szCs w:val="24"/>
                <w:vertAlign w:val="subscript"/>
              </w:rPr>
              <w:t xml:space="preserve"> of last year</w:t>
            </w:r>
          </w:p>
        </w:tc>
        <w:tc>
          <w:tcPr>
            <w:tcW w:w="1325" w:type="dxa"/>
            <w:tcBorders>
              <w:top w:val="nil"/>
              <w:left w:val="single" w:sz="4" w:space="0" w:color="auto"/>
              <w:bottom w:val="single" w:sz="8" w:space="0" w:color="000000"/>
              <w:right w:val="single" w:sz="4" w:space="0" w:color="auto"/>
            </w:tcBorders>
            <w:vAlign w:val="center"/>
          </w:tcPr>
          <w:p w:rsidR="003926E5" w:rsidRPr="00B01A77" w:rsidRDefault="003926E5" w:rsidP="00285C14">
            <w:pPr>
              <w:pStyle w:val="NoSpacing"/>
              <w:rPr>
                <w:rFonts w:asciiTheme="majorBidi" w:hAnsiTheme="majorBidi" w:cstheme="majorBidi"/>
                <w:sz w:val="24"/>
                <w:szCs w:val="24"/>
                <w:vertAlign w:val="subscript"/>
              </w:rPr>
            </w:pPr>
          </w:p>
        </w:tc>
        <w:tc>
          <w:tcPr>
            <w:tcW w:w="2837" w:type="dxa"/>
            <w:tcBorders>
              <w:top w:val="nil"/>
              <w:left w:val="single" w:sz="4"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2.44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(10,953 / 602)</w:t>
            </w:r>
          </w:p>
        </w:tc>
        <w:tc>
          <w:tcPr>
            <w:tcW w:w="1325"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0.134</w:t>
            </w:r>
          </w:p>
        </w:tc>
        <w:tc>
          <w:tcPr>
            <w:tcW w:w="2477"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2.50 /</w:t>
            </w:r>
          </w:p>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(11,651 / 542)</w:t>
            </w:r>
          </w:p>
        </w:tc>
        <w:tc>
          <w:tcPr>
            <w:tcW w:w="1238" w:type="dxa"/>
            <w:tcBorders>
              <w:top w:val="nil"/>
              <w:left w:val="single" w:sz="8" w:space="0" w:color="auto"/>
              <w:bottom w:val="single" w:sz="8" w:space="0" w:color="000000"/>
              <w:right w:val="single" w:sz="8" w:space="0" w:color="auto"/>
            </w:tcBorders>
            <w:vAlign w:val="center"/>
            <w:hideMark/>
          </w:tcPr>
          <w:p w:rsidR="003926E5" w:rsidRPr="00B01A77" w:rsidRDefault="003926E5" w:rsidP="00285C14">
            <w:pPr>
              <w:pStyle w:val="NoSpacing"/>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0.116</w:t>
            </w:r>
          </w:p>
        </w:tc>
      </w:tr>
    </w:tbl>
    <w:p w:rsidR="003926E5" w:rsidRPr="00B01A77" w:rsidRDefault="003926E5" w:rsidP="003926E5">
      <w:pPr>
        <w:rPr>
          <w:rFonts w:asciiTheme="majorBidi" w:hAnsiTheme="majorBidi" w:cstheme="majorBidi"/>
          <w:b/>
          <w:bCs/>
          <w:sz w:val="24"/>
          <w:szCs w:val="24"/>
          <w:u w:val="single"/>
          <w:vertAlign w:val="subscript"/>
        </w:rPr>
      </w:pPr>
    </w:p>
    <w:p w:rsidR="003926E5" w:rsidRPr="00B01A77" w:rsidRDefault="003926E5" w:rsidP="003926E5">
      <w:pPr>
        <w:rPr>
          <w:rFonts w:asciiTheme="majorBidi" w:hAnsiTheme="majorBidi" w:cstheme="majorBidi"/>
          <w:b/>
          <w:bCs/>
          <w:sz w:val="24"/>
          <w:szCs w:val="24"/>
          <w:u w:val="single"/>
          <w:vertAlign w:val="subscript"/>
        </w:rPr>
      </w:pPr>
      <w:r w:rsidRPr="00B01A77">
        <w:rPr>
          <w:rFonts w:asciiTheme="majorBidi" w:hAnsiTheme="majorBidi" w:cstheme="majorBidi"/>
          <w:b/>
          <w:bCs/>
          <w:sz w:val="24"/>
          <w:szCs w:val="24"/>
          <w:u w:val="single"/>
          <w:vertAlign w:val="subscript"/>
        </w:rPr>
        <w:t>Formulas Used:</w:t>
      </w:r>
    </w:p>
    <w:p w:rsidR="003926E5" w:rsidRPr="00B01A77" w:rsidRDefault="003926E5" w:rsidP="003926E5">
      <w:pPr>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Gross Profit Percentage = (Gross Profit/Total Revenues) * 100, (income statement)</w:t>
      </w:r>
    </w:p>
    <w:p w:rsidR="003926E5" w:rsidRPr="00B01A77" w:rsidRDefault="003926E5" w:rsidP="003926E5">
      <w:pPr>
        <w:rPr>
          <w:rFonts w:asciiTheme="majorBidi" w:hAnsiTheme="majorBidi" w:cstheme="majorBidi"/>
          <w:sz w:val="24"/>
          <w:szCs w:val="24"/>
          <w:vertAlign w:val="subscript"/>
        </w:rPr>
      </w:pPr>
      <w:r w:rsidRPr="00B01A77">
        <w:rPr>
          <w:rFonts w:asciiTheme="majorBidi" w:hAnsiTheme="majorBidi" w:cstheme="majorBidi"/>
          <w:sz w:val="24"/>
          <w:szCs w:val="24"/>
          <w:vertAlign w:val="subscript"/>
        </w:rPr>
        <w:t>Revenue/Year, (income statement)</w:t>
      </w:r>
    </w:p>
    <w:p w:rsidR="003926E5" w:rsidRPr="00B01A77" w:rsidRDefault="003926E5" w:rsidP="003926E5">
      <w:pPr>
        <w:rPr>
          <w:rFonts w:asciiTheme="majorBidi" w:hAnsiTheme="majorBidi" w:cstheme="majorBidi"/>
          <w:sz w:val="24"/>
          <w:szCs w:val="24"/>
          <w:vertAlign w:val="subscript"/>
          <w:lang w:val="en-GB"/>
        </w:rPr>
      </w:pPr>
      <w:r w:rsidRPr="00B01A77">
        <w:rPr>
          <w:rFonts w:asciiTheme="majorBidi" w:hAnsiTheme="majorBidi" w:cstheme="majorBidi"/>
          <w:sz w:val="24"/>
          <w:szCs w:val="24"/>
          <w:vertAlign w:val="subscript"/>
          <w:lang w:val="en-GB"/>
        </w:rPr>
        <w:t>Administrative Expenses, (income statement)</w:t>
      </w:r>
    </w:p>
    <w:p w:rsidR="003926E5" w:rsidRPr="00B01A77" w:rsidRDefault="003926E5" w:rsidP="003926E5">
      <w:pPr>
        <w:rPr>
          <w:rFonts w:asciiTheme="majorBidi" w:hAnsiTheme="majorBidi" w:cstheme="majorBidi"/>
          <w:sz w:val="24"/>
          <w:szCs w:val="24"/>
          <w:vertAlign w:val="subscript"/>
          <w:lang w:val="en-GB"/>
        </w:rPr>
      </w:pPr>
      <w:r w:rsidRPr="00B01A77">
        <w:rPr>
          <w:rFonts w:asciiTheme="majorBidi" w:hAnsiTheme="majorBidi" w:cstheme="majorBidi"/>
          <w:sz w:val="24"/>
          <w:szCs w:val="24"/>
          <w:vertAlign w:val="subscript"/>
          <w:lang w:val="en-GB"/>
        </w:rPr>
        <w:t>Working Capital Ratio= (current assets – current liabilities), (balance sheet)</w:t>
      </w:r>
    </w:p>
    <w:p w:rsidR="003926E5" w:rsidRPr="00B01A77" w:rsidRDefault="003926E5" w:rsidP="003926E5">
      <w:pPr>
        <w:rPr>
          <w:rFonts w:asciiTheme="majorBidi" w:hAnsiTheme="majorBidi" w:cstheme="majorBidi"/>
          <w:sz w:val="24"/>
          <w:szCs w:val="24"/>
          <w:vertAlign w:val="subscript"/>
          <w:lang w:val="en-GB"/>
        </w:rPr>
      </w:pPr>
      <w:r w:rsidRPr="00B01A77">
        <w:rPr>
          <w:rFonts w:asciiTheme="majorBidi" w:hAnsiTheme="majorBidi" w:cstheme="majorBidi"/>
          <w:sz w:val="24"/>
          <w:szCs w:val="24"/>
          <w:vertAlign w:val="subscript"/>
          <w:lang w:val="en-GB"/>
        </w:rPr>
        <w:t>Debt to equity = (total debt / total equity), (balance sheet)</w:t>
      </w:r>
    </w:p>
    <w:p w:rsidR="003926E5" w:rsidRPr="00B01A77" w:rsidRDefault="003926E5" w:rsidP="003926E5">
      <w:pPr>
        <w:rPr>
          <w:rFonts w:asciiTheme="majorBidi" w:hAnsiTheme="majorBidi" w:cstheme="majorBidi"/>
          <w:sz w:val="24"/>
          <w:szCs w:val="24"/>
          <w:vertAlign w:val="subscript"/>
          <w:lang w:val="en-GB"/>
        </w:rPr>
      </w:pPr>
      <w:r w:rsidRPr="00B01A77">
        <w:rPr>
          <w:rFonts w:asciiTheme="majorBidi" w:hAnsiTheme="majorBidi" w:cstheme="majorBidi"/>
          <w:sz w:val="24"/>
          <w:szCs w:val="24"/>
          <w:vertAlign w:val="subscript"/>
          <w:lang w:val="en-GB"/>
        </w:rPr>
        <w:t>Return on equity = (net income before extraordinary items / average total equity), (income statement and balance sheet)</w:t>
      </w:r>
    </w:p>
    <w:p w:rsidR="003926E5" w:rsidRPr="00B01A77" w:rsidRDefault="003926E5" w:rsidP="003926E5">
      <w:pPr>
        <w:rPr>
          <w:rFonts w:asciiTheme="majorBidi" w:hAnsiTheme="majorBidi" w:cstheme="majorBidi"/>
          <w:color w:val="111111"/>
          <w:sz w:val="24"/>
          <w:szCs w:val="24"/>
          <w:vertAlign w:val="subscript"/>
        </w:rPr>
      </w:pPr>
      <w:r w:rsidRPr="00B01A77">
        <w:rPr>
          <w:rFonts w:asciiTheme="majorBidi" w:hAnsiTheme="majorBidi" w:cstheme="majorBidi"/>
          <w:sz w:val="24"/>
          <w:szCs w:val="24"/>
          <w:vertAlign w:val="subscript"/>
          <w:lang w:val="en-GB"/>
        </w:rPr>
        <w:t>EPS = (</w:t>
      </w:r>
      <w:r w:rsidRPr="00B01A77">
        <w:rPr>
          <w:rFonts w:asciiTheme="majorBidi" w:hAnsiTheme="majorBidi" w:cstheme="majorBidi"/>
          <w:color w:val="111111"/>
          <w:sz w:val="24"/>
          <w:szCs w:val="24"/>
          <w:vertAlign w:val="subscript"/>
        </w:rPr>
        <w:t>net income / average outstanding common shares), (income statement and balance sheet)</w:t>
      </w:r>
    </w:p>
    <w:p w:rsidR="003926E5" w:rsidRPr="00B01A77" w:rsidRDefault="003926E5" w:rsidP="003926E5">
      <w:pPr>
        <w:rPr>
          <w:rFonts w:asciiTheme="majorBidi" w:hAnsiTheme="majorBidi" w:cstheme="majorBidi"/>
          <w:sz w:val="24"/>
          <w:szCs w:val="24"/>
          <w:vertAlign w:val="subscript"/>
          <w:lang w:val="en-GB"/>
        </w:rPr>
      </w:pPr>
      <w:r w:rsidRPr="00B01A77">
        <w:rPr>
          <w:rFonts w:asciiTheme="majorBidi" w:hAnsiTheme="majorBidi" w:cstheme="majorBidi"/>
          <w:color w:val="111111"/>
          <w:sz w:val="24"/>
          <w:szCs w:val="24"/>
          <w:vertAlign w:val="subscript"/>
        </w:rPr>
        <w:t xml:space="preserve">Current Ratio = </w:t>
      </w:r>
      <w:r w:rsidRPr="00B01A77">
        <w:rPr>
          <w:rFonts w:asciiTheme="majorBidi" w:hAnsiTheme="majorBidi" w:cstheme="majorBidi"/>
          <w:sz w:val="24"/>
          <w:szCs w:val="24"/>
          <w:vertAlign w:val="subscript"/>
          <w:lang w:val="en-GB"/>
        </w:rPr>
        <w:t>(current assets / current liabilities), (balance sheet)</w:t>
      </w:r>
    </w:p>
    <w:p w:rsidR="003926E5" w:rsidRPr="00B01A77" w:rsidRDefault="003926E5" w:rsidP="003926E5">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Quick Ratio= </w:t>
      </w:r>
      <w:r w:rsidRPr="00B01A77">
        <w:rPr>
          <w:rFonts w:asciiTheme="majorBidi" w:hAnsiTheme="majorBidi" w:cstheme="majorBidi"/>
          <w:sz w:val="24"/>
          <w:szCs w:val="24"/>
          <w:vertAlign w:val="subscript"/>
          <w:lang w:val="en-GB"/>
        </w:rPr>
        <w:t>(Total current assets – total inventory) / Total current liabilities, (balance sheet)</w:t>
      </w:r>
    </w:p>
    <w:p w:rsidR="003926E5" w:rsidRPr="00B01A77" w:rsidRDefault="003926E5" w:rsidP="003926E5">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Accounts Receivable Turnover Ratio= </w:t>
      </w:r>
      <w:r w:rsidRPr="00B01A77">
        <w:rPr>
          <w:rFonts w:asciiTheme="majorBidi" w:hAnsiTheme="majorBidi" w:cstheme="majorBidi"/>
          <w:sz w:val="24"/>
          <w:szCs w:val="24"/>
          <w:vertAlign w:val="subscript"/>
          <w:lang w:val="en-GB"/>
        </w:rPr>
        <w:t>(net sales / average accounts receivable), (</w:t>
      </w:r>
      <w:r w:rsidRPr="00B01A77">
        <w:rPr>
          <w:rFonts w:asciiTheme="majorBidi" w:hAnsiTheme="majorBidi" w:cstheme="majorBidi"/>
          <w:color w:val="111111"/>
          <w:sz w:val="24"/>
          <w:szCs w:val="24"/>
          <w:vertAlign w:val="subscript"/>
        </w:rPr>
        <w:t>balance sheet)</w:t>
      </w:r>
    </w:p>
    <w:p w:rsidR="003926E5" w:rsidRPr="00B01A77" w:rsidRDefault="003926E5" w:rsidP="003926E5">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Inventory Turnover Rate = </w:t>
      </w:r>
      <w:r w:rsidRPr="00B01A77">
        <w:rPr>
          <w:rFonts w:asciiTheme="majorBidi" w:hAnsiTheme="majorBidi" w:cstheme="majorBidi"/>
          <w:sz w:val="24"/>
          <w:szCs w:val="24"/>
          <w:vertAlign w:val="subscript"/>
          <w:lang w:val="en-GB"/>
        </w:rPr>
        <w:t>(cost of goods sold / average inventory), (balance sheet)</w:t>
      </w:r>
    </w:p>
    <w:p w:rsidR="003926E5" w:rsidRPr="00B01A77" w:rsidRDefault="003926E5" w:rsidP="003926E5">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Operating Cycle = </w:t>
      </w:r>
      <w:r w:rsidRPr="00B01A77">
        <w:rPr>
          <w:rFonts w:asciiTheme="majorBidi" w:hAnsiTheme="majorBidi" w:cstheme="majorBidi"/>
          <w:sz w:val="24"/>
          <w:szCs w:val="24"/>
          <w:vertAlign w:val="subscript"/>
          <w:lang w:val="en-GB"/>
        </w:rPr>
        <w:t>(365 Days/ AR turnover) + (365 Days/ inventory turnover), (balance sheet)</w:t>
      </w:r>
    </w:p>
    <w:p w:rsidR="003926E5" w:rsidRPr="00B01A77" w:rsidRDefault="003926E5" w:rsidP="003926E5">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Dividend per share </w:t>
      </w:r>
      <w:proofErr w:type="gramStart"/>
      <w:r w:rsidRPr="00B01A77">
        <w:rPr>
          <w:rFonts w:asciiTheme="majorBidi" w:hAnsiTheme="majorBidi" w:cstheme="majorBidi"/>
          <w:color w:val="111111"/>
          <w:sz w:val="24"/>
          <w:szCs w:val="24"/>
          <w:vertAlign w:val="subscript"/>
        </w:rPr>
        <w:t xml:space="preserve">= </w:t>
      </w:r>
      <w:r w:rsidRPr="00B01A77">
        <w:rPr>
          <w:rFonts w:asciiTheme="majorBidi" w:hAnsiTheme="majorBidi" w:cstheme="majorBidi"/>
          <w:sz w:val="24"/>
          <w:szCs w:val="24"/>
          <w:vertAlign w:val="subscript"/>
          <w:lang w:val="en-GB"/>
        </w:rPr>
        <w:t xml:space="preserve"> total</w:t>
      </w:r>
      <w:proofErr w:type="gramEnd"/>
      <w:r w:rsidRPr="00B01A77">
        <w:rPr>
          <w:rFonts w:asciiTheme="majorBidi" w:hAnsiTheme="majorBidi" w:cstheme="majorBidi"/>
          <w:sz w:val="24"/>
          <w:szCs w:val="24"/>
          <w:vertAlign w:val="subscript"/>
          <w:lang w:val="en-GB"/>
        </w:rPr>
        <w:t xml:space="preserve"> dividend/ outstanding shares, (balance sheet)</w:t>
      </w:r>
    </w:p>
    <w:p w:rsidR="003926E5" w:rsidRPr="00B01A77" w:rsidRDefault="003926E5" w:rsidP="003926E5">
      <w:pPr>
        <w:rPr>
          <w:rFonts w:asciiTheme="majorBidi" w:hAnsiTheme="majorBidi" w:cstheme="majorBidi"/>
          <w:color w:val="111111"/>
          <w:sz w:val="24"/>
          <w:szCs w:val="24"/>
          <w:vertAlign w:val="subscript"/>
        </w:rPr>
      </w:pPr>
      <w:r w:rsidRPr="00B01A77">
        <w:rPr>
          <w:rFonts w:asciiTheme="majorBidi" w:hAnsiTheme="majorBidi" w:cstheme="majorBidi"/>
          <w:color w:val="111111"/>
          <w:sz w:val="24"/>
          <w:szCs w:val="24"/>
          <w:vertAlign w:val="subscript"/>
        </w:rPr>
        <w:t xml:space="preserve">Dividend Yield = </w:t>
      </w:r>
      <w:r w:rsidRPr="00B01A77">
        <w:rPr>
          <w:rFonts w:asciiTheme="majorBidi" w:hAnsiTheme="majorBidi" w:cstheme="majorBidi"/>
          <w:sz w:val="24"/>
          <w:szCs w:val="24"/>
          <w:vertAlign w:val="subscript"/>
          <w:lang w:val="en-GB"/>
        </w:rPr>
        <w:t>(dividend per share) / (total equity of last year / outstanding shares of last year), (balance sheet)</w:t>
      </w:r>
    </w:p>
    <w:p w:rsidR="003926E5" w:rsidRPr="00B01A77" w:rsidRDefault="003926E5" w:rsidP="003926E5">
      <w:pPr>
        <w:rPr>
          <w:rFonts w:asciiTheme="majorBidi" w:hAnsiTheme="majorBidi" w:cstheme="majorBidi"/>
          <w:sz w:val="24"/>
          <w:szCs w:val="24"/>
          <w:vertAlign w:val="subscript"/>
          <w:lang w:val="en-GB"/>
        </w:rPr>
      </w:pPr>
    </w:p>
    <w:p w:rsidR="002B65A9" w:rsidRPr="00B01A77" w:rsidRDefault="002B65A9" w:rsidP="002B65A9">
      <w:pPr>
        <w:rPr>
          <w:rFonts w:asciiTheme="majorBidi" w:hAnsiTheme="majorBidi" w:cstheme="majorBidi"/>
          <w:sz w:val="24"/>
          <w:szCs w:val="24"/>
        </w:rPr>
      </w:pPr>
    </w:p>
    <w:p w:rsidR="008A369B" w:rsidRDefault="008A369B" w:rsidP="002B65A9">
      <w:pPr>
        <w:rPr>
          <w:rFonts w:asciiTheme="majorBidi" w:hAnsiTheme="majorBidi" w:cstheme="majorBidi"/>
          <w:sz w:val="24"/>
          <w:szCs w:val="24"/>
        </w:rPr>
        <w:sectPr w:rsidR="008A369B" w:rsidSect="008A369B">
          <w:pgSz w:w="16839" w:h="23814" w:code="8"/>
          <w:pgMar w:top="1440" w:right="1440" w:bottom="1440" w:left="1440" w:header="720" w:footer="720" w:gutter="0"/>
          <w:cols w:space="720"/>
          <w:docGrid w:linePitch="360"/>
        </w:sectPr>
      </w:pPr>
    </w:p>
    <w:p w:rsidR="00B01A77" w:rsidRDefault="008A369B" w:rsidP="002B65A9">
      <w:pPr>
        <w:rPr>
          <w:rFonts w:asciiTheme="majorBidi" w:hAnsiTheme="majorBidi" w:cstheme="majorBidi"/>
          <w:b/>
          <w:bCs/>
          <w:sz w:val="24"/>
          <w:szCs w:val="24"/>
        </w:rPr>
      </w:pPr>
      <w:r w:rsidRPr="008A369B">
        <w:rPr>
          <w:rFonts w:asciiTheme="majorBidi" w:hAnsiTheme="majorBidi" w:cstheme="majorBidi"/>
          <w:b/>
          <w:bCs/>
          <w:sz w:val="24"/>
          <w:szCs w:val="24"/>
        </w:rPr>
        <w:lastRenderedPageBreak/>
        <w:t>Appendix C: Financial Statement of Dollar General - circa 2016, 2017, 2018 – via “</w:t>
      </w:r>
      <w:proofErr w:type="spellStart"/>
      <w:r w:rsidRPr="008A369B">
        <w:rPr>
          <w:rFonts w:asciiTheme="majorBidi" w:hAnsiTheme="majorBidi" w:cstheme="majorBidi"/>
          <w:b/>
          <w:bCs/>
          <w:sz w:val="24"/>
          <w:szCs w:val="24"/>
        </w:rPr>
        <w:t>Eikon</w:t>
      </w:r>
      <w:proofErr w:type="spellEnd"/>
      <w:r w:rsidRPr="008A369B">
        <w:rPr>
          <w:rFonts w:asciiTheme="majorBidi" w:hAnsiTheme="majorBidi" w:cstheme="majorBidi"/>
          <w:b/>
          <w:bCs/>
          <w:sz w:val="24"/>
          <w:szCs w:val="24"/>
        </w:rPr>
        <w:t>”</w:t>
      </w:r>
    </w:p>
    <w:tbl>
      <w:tblPr>
        <w:tblW w:w="7940" w:type="dxa"/>
        <w:tblLook w:val="04A0" w:firstRow="1" w:lastRow="0" w:firstColumn="1" w:lastColumn="0" w:noHBand="0" w:noVBand="1"/>
      </w:tblPr>
      <w:tblGrid>
        <w:gridCol w:w="1064"/>
        <w:gridCol w:w="3061"/>
        <w:gridCol w:w="1303"/>
        <w:gridCol w:w="1256"/>
        <w:gridCol w:w="1256"/>
      </w:tblGrid>
      <w:tr w:rsidR="008A369B" w:rsidRPr="008A369B" w:rsidTr="008A369B">
        <w:trPr>
          <w:trHeight w:val="420"/>
        </w:trPr>
        <w:tc>
          <w:tcPr>
            <w:tcW w:w="7940" w:type="dxa"/>
            <w:gridSpan w:val="5"/>
            <w:tcBorders>
              <w:top w:val="nil"/>
              <w:left w:val="nil"/>
              <w:bottom w:val="nil"/>
              <w:right w:val="nil"/>
            </w:tcBorders>
            <w:shd w:val="clear" w:color="auto" w:fill="auto"/>
            <w:vAlign w:val="bottom"/>
            <w:hideMark/>
          </w:tcPr>
          <w:p w:rsidR="008A369B" w:rsidRPr="008A369B" w:rsidRDefault="008A369B" w:rsidP="008A369B">
            <w:pPr>
              <w:spacing w:after="0" w:line="240" w:lineRule="auto"/>
              <w:rPr>
                <w:rFonts w:ascii="Tahoma" w:eastAsia="Times New Roman" w:hAnsi="Tahoma" w:cs="Tahoma"/>
                <w:b/>
                <w:bCs/>
                <w:color w:val="000000"/>
                <w:sz w:val="16"/>
                <w:szCs w:val="16"/>
              </w:rPr>
            </w:pPr>
            <w:r w:rsidRPr="008A369B">
              <w:rPr>
                <w:rFonts w:ascii="Tahoma" w:eastAsia="Times New Roman" w:hAnsi="Tahoma" w:cs="Tahoma"/>
                <w:b/>
                <w:bCs/>
                <w:color w:val="000000"/>
                <w:sz w:val="16"/>
                <w:szCs w:val="16"/>
              </w:rPr>
              <w:t xml:space="preserve">Dollar General Corp | Income Statement | Thomson Reuters </w:t>
            </w:r>
            <w:proofErr w:type="spellStart"/>
            <w:r w:rsidRPr="008A369B">
              <w:rPr>
                <w:rFonts w:ascii="Tahoma" w:eastAsia="Times New Roman" w:hAnsi="Tahoma" w:cs="Tahoma"/>
                <w:b/>
                <w:bCs/>
                <w:color w:val="000000"/>
                <w:sz w:val="16"/>
                <w:szCs w:val="16"/>
              </w:rPr>
              <w:t>Eikon</w:t>
            </w:r>
            <w:proofErr w:type="spellEnd"/>
            <w:r w:rsidRPr="008A369B">
              <w:rPr>
                <w:rFonts w:ascii="Tahoma" w:eastAsia="Times New Roman" w:hAnsi="Tahoma" w:cs="Tahoma"/>
                <w:b/>
                <w:bCs/>
                <w:color w:val="000000"/>
                <w:sz w:val="16"/>
                <w:szCs w:val="16"/>
              </w:rPr>
              <w:t xml:space="preserve">                                07-Nov-2018 14:48</w:t>
            </w:r>
          </w:p>
        </w:tc>
      </w:tr>
      <w:tr w:rsidR="008A369B" w:rsidRPr="008A369B" w:rsidTr="008A369B">
        <w:trPr>
          <w:trHeight w:val="288"/>
        </w:trPr>
        <w:tc>
          <w:tcPr>
            <w:tcW w:w="1064"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ahoma" w:eastAsia="Times New Roman" w:hAnsi="Tahoma" w:cs="Tahoma"/>
                <w:b/>
                <w:bCs/>
                <w:color w:val="000000"/>
                <w:sz w:val="16"/>
                <w:szCs w:val="16"/>
              </w:rPr>
            </w:pPr>
          </w:p>
        </w:tc>
        <w:tc>
          <w:tcPr>
            <w:tcW w:w="3061"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288"/>
        </w:trPr>
        <w:tc>
          <w:tcPr>
            <w:tcW w:w="4125" w:type="dxa"/>
            <w:gridSpan w:val="2"/>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Income Statement</w:t>
            </w:r>
          </w:p>
        </w:tc>
        <w:tc>
          <w:tcPr>
            <w:tcW w:w="1303"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5428" w:type="dxa"/>
            <w:gridSpan w:val="3"/>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Annual </w:t>
            </w:r>
            <w:proofErr w:type="spellStart"/>
            <w:r w:rsidRPr="008A369B">
              <w:rPr>
                <w:rFonts w:ascii="Calibri" w:eastAsia="Times New Roman" w:hAnsi="Calibri" w:cs="Calibri"/>
                <w:color w:val="000000"/>
                <w:sz w:val="20"/>
                <w:szCs w:val="20"/>
              </w:rPr>
              <w:t>Standardised</w:t>
            </w:r>
            <w:proofErr w:type="spellEnd"/>
            <w:r w:rsidRPr="008A369B">
              <w:rPr>
                <w:rFonts w:ascii="Calibri" w:eastAsia="Times New Roman" w:hAnsi="Calibri" w:cs="Calibri"/>
                <w:color w:val="000000"/>
                <w:sz w:val="20"/>
                <w:szCs w:val="20"/>
              </w:rPr>
              <w:t xml:space="preserve"> in Millions of U.S. Dollars</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4125" w:type="dxa"/>
            <w:gridSpan w:val="2"/>
            <w:tcBorders>
              <w:top w:val="single" w:sz="8" w:space="0" w:color="FFFFFF"/>
              <w:left w:val="single" w:sz="8" w:space="0" w:color="FFFFFF"/>
              <w:bottom w:val="single" w:sz="8" w:space="0" w:color="C1C1C1"/>
              <w:right w:val="single" w:sz="8" w:space="0" w:color="FFFFFF"/>
            </w:tcBorders>
            <w:shd w:val="clear" w:color="000000" w:fill="ABC4EA"/>
            <w:noWrap/>
            <w:vAlign w:val="bottom"/>
            <w:hideMark/>
          </w:tcPr>
          <w:p w:rsidR="008A369B" w:rsidRPr="008A369B" w:rsidRDefault="008A369B" w:rsidP="008A369B">
            <w:pPr>
              <w:spacing w:after="0" w:line="240" w:lineRule="auto"/>
              <w:rPr>
                <w:rFonts w:ascii="Calibri" w:eastAsia="Times New Roman" w:hAnsi="Calibri" w:cs="Calibri"/>
                <w:b/>
                <w:bCs/>
                <w:color w:val="000000"/>
                <w:sz w:val="20"/>
                <w:szCs w:val="20"/>
              </w:rPr>
            </w:pPr>
            <w:r w:rsidRPr="008A369B">
              <w:rPr>
                <w:rFonts w:ascii="Calibri" w:eastAsia="Times New Roman" w:hAnsi="Calibri" w:cs="Calibri"/>
                <w:b/>
                <w:bCs/>
                <w:color w:val="000000"/>
                <w:sz w:val="20"/>
                <w:szCs w:val="20"/>
              </w:rPr>
              <w:t> </w:t>
            </w:r>
          </w:p>
        </w:tc>
        <w:tc>
          <w:tcPr>
            <w:tcW w:w="1303" w:type="dxa"/>
            <w:tcBorders>
              <w:top w:val="single" w:sz="8" w:space="0" w:color="FFFFFF"/>
              <w:left w:val="nil"/>
              <w:bottom w:val="single" w:sz="8" w:space="0" w:color="FFFFFF"/>
              <w:right w:val="single" w:sz="8" w:space="0" w:color="FFFFFF"/>
            </w:tcBorders>
            <w:shd w:val="clear" w:color="000000" w:fill="ABC4EA"/>
            <w:noWrap/>
            <w:vAlign w:val="bottom"/>
            <w:hideMark/>
          </w:tcPr>
          <w:p w:rsidR="008A369B" w:rsidRPr="008A369B" w:rsidRDefault="008A369B" w:rsidP="008A369B">
            <w:pPr>
              <w:spacing w:after="0" w:line="240" w:lineRule="auto"/>
              <w:jc w:val="right"/>
              <w:rPr>
                <w:rFonts w:ascii="Calibri" w:eastAsia="Times New Roman" w:hAnsi="Calibri" w:cs="Calibri"/>
                <w:b/>
                <w:bCs/>
                <w:color w:val="000000"/>
                <w:sz w:val="20"/>
                <w:szCs w:val="20"/>
              </w:rPr>
            </w:pPr>
            <w:r w:rsidRPr="008A369B">
              <w:rPr>
                <w:rFonts w:ascii="Calibri" w:eastAsia="Times New Roman" w:hAnsi="Calibri" w:cs="Calibri"/>
                <w:b/>
                <w:bCs/>
                <w:color w:val="000000"/>
                <w:sz w:val="20"/>
                <w:szCs w:val="20"/>
              </w:rPr>
              <w:t>2016</w:t>
            </w:r>
          </w:p>
        </w:tc>
        <w:tc>
          <w:tcPr>
            <w:tcW w:w="1256" w:type="dxa"/>
            <w:tcBorders>
              <w:top w:val="single" w:sz="8" w:space="0" w:color="FFFFFF"/>
              <w:left w:val="nil"/>
              <w:bottom w:val="single" w:sz="8" w:space="0" w:color="FFFFFF"/>
              <w:right w:val="single" w:sz="8" w:space="0" w:color="FFFFFF"/>
            </w:tcBorders>
            <w:shd w:val="clear" w:color="000000" w:fill="ABC4EA"/>
            <w:noWrap/>
            <w:vAlign w:val="bottom"/>
            <w:hideMark/>
          </w:tcPr>
          <w:p w:rsidR="008A369B" w:rsidRPr="008A369B" w:rsidRDefault="008A369B" w:rsidP="008A369B">
            <w:pPr>
              <w:spacing w:after="0" w:line="240" w:lineRule="auto"/>
              <w:jc w:val="right"/>
              <w:rPr>
                <w:rFonts w:ascii="Calibri" w:eastAsia="Times New Roman" w:hAnsi="Calibri" w:cs="Calibri"/>
                <w:b/>
                <w:bCs/>
                <w:color w:val="000000"/>
                <w:sz w:val="20"/>
                <w:szCs w:val="20"/>
              </w:rPr>
            </w:pPr>
            <w:r w:rsidRPr="008A369B">
              <w:rPr>
                <w:rFonts w:ascii="Calibri" w:eastAsia="Times New Roman" w:hAnsi="Calibri" w:cs="Calibri"/>
                <w:b/>
                <w:bCs/>
                <w:color w:val="000000"/>
                <w:sz w:val="20"/>
                <w:szCs w:val="20"/>
              </w:rPr>
              <w:t>2017</w:t>
            </w:r>
          </w:p>
        </w:tc>
        <w:tc>
          <w:tcPr>
            <w:tcW w:w="1256" w:type="dxa"/>
            <w:tcBorders>
              <w:top w:val="single" w:sz="8" w:space="0" w:color="FFFFFF"/>
              <w:left w:val="nil"/>
              <w:bottom w:val="single" w:sz="8" w:space="0" w:color="FFFFFF"/>
              <w:right w:val="single" w:sz="8" w:space="0" w:color="FFFFFF"/>
            </w:tcBorders>
            <w:shd w:val="clear" w:color="000000" w:fill="ABC4EA"/>
            <w:noWrap/>
            <w:vAlign w:val="bottom"/>
            <w:hideMark/>
          </w:tcPr>
          <w:p w:rsidR="008A369B" w:rsidRPr="008A369B" w:rsidRDefault="008A369B" w:rsidP="008A369B">
            <w:pPr>
              <w:spacing w:after="0" w:line="240" w:lineRule="auto"/>
              <w:jc w:val="right"/>
              <w:rPr>
                <w:rFonts w:ascii="Calibri" w:eastAsia="Times New Roman" w:hAnsi="Calibri" w:cs="Calibri"/>
                <w:b/>
                <w:bCs/>
                <w:color w:val="000000"/>
                <w:sz w:val="20"/>
                <w:szCs w:val="20"/>
              </w:rPr>
            </w:pPr>
            <w:r w:rsidRPr="008A369B">
              <w:rPr>
                <w:rFonts w:ascii="Calibri" w:eastAsia="Times New Roman" w:hAnsi="Calibri" w:cs="Calibri"/>
                <w:b/>
                <w:bCs/>
                <w:color w:val="000000"/>
                <w:sz w:val="20"/>
                <w:szCs w:val="20"/>
              </w:rPr>
              <w:t>2018</w:t>
            </w:r>
          </w:p>
        </w:tc>
      </w:tr>
      <w:tr w:rsidR="008A369B" w:rsidRPr="008A369B" w:rsidTr="008A369B">
        <w:trPr>
          <w:trHeight w:val="285"/>
        </w:trPr>
        <w:tc>
          <w:tcPr>
            <w:tcW w:w="4125" w:type="dxa"/>
            <w:gridSpan w:val="2"/>
            <w:tcBorders>
              <w:top w:val="single" w:sz="8" w:space="0" w:color="C1C1C1"/>
              <w:left w:val="nil"/>
              <w:bottom w:val="single" w:sz="8" w:space="0" w:color="C1C1C1"/>
              <w:right w:val="single" w:sz="8" w:space="0" w:color="CCCCCC"/>
            </w:tcBorders>
            <w:shd w:val="clear" w:color="000000" w:fill="F5F6FA"/>
            <w:noWrap/>
            <w:vAlign w:val="bottom"/>
            <w:hideMark/>
          </w:tcPr>
          <w:p w:rsidR="008A369B" w:rsidRPr="008A369B" w:rsidRDefault="008A369B" w:rsidP="008A369B">
            <w:pPr>
              <w:spacing w:after="0" w:line="240" w:lineRule="auto"/>
              <w:rPr>
                <w:rFonts w:ascii="Calibri" w:eastAsia="Times New Roman" w:hAnsi="Calibri" w:cs="Calibri"/>
                <w:b/>
                <w:bCs/>
                <w:color w:val="000000"/>
              </w:rPr>
            </w:pPr>
            <w:r w:rsidRPr="008A369B">
              <w:rPr>
                <w:rFonts w:ascii="Calibri" w:eastAsia="Times New Roman" w:hAnsi="Calibri" w:cs="Calibri"/>
                <w:b/>
                <w:bCs/>
                <w:color w:val="000000"/>
              </w:rPr>
              <w:t>Earnings Quality Score</w:t>
            </w:r>
          </w:p>
        </w:tc>
        <w:tc>
          <w:tcPr>
            <w:tcW w:w="1303" w:type="dxa"/>
            <w:tcBorders>
              <w:top w:val="single" w:sz="8" w:space="0" w:color="C1C1C1"/>
              <w:left w:val="nil"/>
              <w:bottom w:val="single" w:sz="8" w:space="0" w:color="C1C1C1"/>
              <w:right w:val="nil"/>
            </w:tcBorders>
            <w:shd w:val="clear" w:color="000000" w:fill="E0E0E0"/>
            <w:noWrap/>
            <w:hideMark/>
          </w:tcPr>
          <w:p w:rsidR="008A369B" w:rsidRPr="008A369B" w:rsidRDefault="008A369B" w:rsidP="008A369B">
            <w:pPr>
              <w:spacing w:after="0" w:line="240" w:lineRule="auto"/>
              <w:jc w:val="center"/>
              <w:rPr>
                <w:rFonts w:ascii="Calibri" w:eastAsia="Times New Roman" w:hAnsi="Calibri" w:cs="Calibri"/>
                <w:b/>
                <w:bCs/>
                <w:color w:val="333333"/>
              </w:rPr>
            </w:pPr>
            <w:r w:rsidRPr="008A369B">
              <w:rPr>
                <w:rFonts w:ascii="Calibri" w:eastAsia="Times New Roman" w:hAnsi="Calibri" w:cs="Calibri"/>
                <w:b/>
                <w:bCs/>
                <w:color w:val="333333"/>
              </w:rPr>
              <w:t>68 </w:t>
            </w:r>
          </w:p>
        </w:tc>
        <w:tc>
          <w:tcPr>
            <w:tcW w:w="1256" w:type="dxa"/>
            <w:tcBorders>
              <w:top w:val="single" w:sz="8" w:space="0" w:color="C1C1C1"/>
              <w:left w:val="nil"/>
              <w:bottom w:val="single" w:sz="8" w:space="0" w:color="C1C1C1"/>
              <w:right w:val="nil"/>
            </w:tcBorders>
            <w:shd w:val="clear" w:color="000000" w:fill="A2D09C"/>
            <w:noWrap/>
            <w:hideMark/>
          </w:tcPr>
          <w:p w:rsidR="008A369B" w:rsidRPr="008A369B" w:rsidRDefault="008A369B" w:rsidP="008A369B">
            <w:pPr>
              <w:spacing w:after="0" w:line="240" w:lineRule="auto"/>
              <w:jc w:val="center"/>
              <w:rPr>
                <w:rFonts w:ascii="Calibri" w:eastAsia="Times New Roman" w:hAnsi="Calibri" w:cs="Calibri"/>
                <w:b/>
                <w:bCs/>
                <w:color w:val="000000"/>
              </w:rPr>
            </w:pPr>
            <w:r w:rsidRPr="008A369B">
              <w:rPr>
                <w:rFonts w:ascii="Calibri" w:eastAsia="Times New Roman" w:hAnsi="Calibri" w:cs="Calibri"/>
                <w:b/>
                <w:bCs/>
                <w:color w:val="000000"/>
              </w:rPr>
              <w:t>74 </w:t>
            </w:r>
          </w:p>
        </w:tc>
        <w:tc>
          <w:tcPr>
            <w:tcW w:w="1256" w:type="dxa"/>
            <w:tcBorders>
              <w:top w:val="single" w:sz="8" w:space="0" w:color="C1C1C1"/>
              <w:left w:val="nil"/>
              <w:bottom w:val="single" w:sz="8" w:space="0" w:color="C1C1C1"/>
              <w:right w:val="nil"/>
            </w:tcBorders>
            <w:shd w:val="clear" w:color="000000" w:fill="A2D09C"/>
            <w:noWrap/>
            <w:hideMark/>
          </w:tcPr>
          <w:p w:rsidR="008A369B" w:rsidRPr="008A369B" w:rsidRDefault="008A369B" w:rsidP="008A369B">
            <w:pPr>
              <w:spacing w:after="0" w:line="240" w:lineRule="auto"/>
              <w:jc w:val="center"/>
              <w:rPr>
                <w:rFonts w:ascii="Calibri" w:eastAsia="Times New Roman" w:hAnsi="Calibri" w:cs="Calibri"/>
                <w:b/>
                <w:bCs/>
                <w:color w:val="000000"/>
              </w:rPr>
            </w:pPr>
            <w:r w:rsidRPr="008A369B">
              <w:rPr>
                <w:rFonts w:ascii="Calibri" w:eastAsia="Times New Roman" w:hAnsi="Calibri" w:cs="Calibri"/>
                <w:b/>
                <w:bCs/>
                <w:color w:val="000000"/>
              </w:rPr>
              <w:t>79 </w:t>
            </w:r>
          </w:p>
        </w:tc>
      </w:tr>
      <w:tr w:rsidR="008A369B" w:rsidRPr="008A369B" w:rsidTr="008A369B">
        <w:trPr>
          <w:trHeight w:val="300"/>
        </w:trPr>
        <w:tc>
          <w:tcPr>
            <w:tcW w:w="4125" w:type="dxa"/>
            <w:gridSpan w:val="2"/>
            <w:tcBorders>
              <w:top w:val="single" w:sz="8" w:space="0" w:color="C1C1C1"/>
              <w:left w:val="nil"/>
              <w:bottom w:val="single" w:sz="8" w:space="0" w:color="E5EBF4"/>
              <w:right w:val="single" w:sz="8" w:space="0" w:color="CCCCCC"/>
            </w:tcBorders>
            <w:shd w:val="clear" w:color="000000" w:fill="F5F6FA"/>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Period End Date</w:t>
            </w:r>
          </w:p>
        </w:tc>
        <w:tc>
          <w:tcPr>
            <w:tcW w:w="1303" w:type="dxa"/>
            <w:tcBorders>
              <w:top w:val="single" w:sz="8" w:space="0" w:color="E5EBF4"/>
              <w:left w:val="nil"/>
              <w:bottom w:val="nil"/>
              <w:right w:val="nil"/>
            </w:tcBorders>
            <w:shd w:val="clear" w:color="000000" w:fill="F5F6FA"/>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29-Jan-2016 </w:t>
            </w:r>
          </w:p>
        </w:tc>
        <w:tc>
          <w:tcPr>
            <w:tcW w:w="1256" w:type="dxa"/>
            <w:tcBorders>
              <w:top w:val="single" w:sz="8" w:space="0" w:color="E5EBF4"/>
              <w:left w:val="nil"/>
              <w:bottom w:val="nil"/>
              <w:right w:val="nil"/>
            </w:tcBorders>
            <w:shd w:val="clear" w:color="000000" w:fill="F5F6FA"/>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03-Feb-2017 </w:t>
            </w:r>
          </w:p>
        </w:tc>
        <w:tc>
          <w:tcPr>
            <w:tcW w:w="1256" w:type="dxa"/>
            <w:tcBorders>
              <w:top w:val="single" w:sz="8" w:space="0" w:color="E5EBF4"/>
              <w:left w:val="nil"/>
              <w:bottom w:val="nil"/>
              <w:right w:val="nil"/>
            </w:tcBorders>
            <w:shd w:val="clear" w:color="000000" w:fill="F5F6FA"/>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02-Feb-2018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Revenue</w:t>
            </w:r>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20,369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21,987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23,471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Net Sales</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20,369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21,987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23,471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Revenue</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20,369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21,987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23,471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Cost of Revenue, Total</w:t>
            </w:r>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14,062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15,204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16,250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Cost of Revenue</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14,062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15,204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16,250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Gross Profit</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6,306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6,783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7,221 </w:t>
            </w:r>
          </w:p>
        </w:tc>
      </w:tr>
      <w:tr w:rsidR="008A369B" w:rsidRPr="008A369B" w:rsidTr="008A369B">
        <w:trPr>
          <w:trHeight w:val="300"/>
        </w:trPr>
        <w:tc>
          <w:tcPr>
            <w:tcW w:w="4125" w:type="dxa"/>
            <w:gridSpan w:val="2"/>
            <w:tcBorders>
              <w:top w:val="single" w:sz="8" w:space="0" w:color="E5EBF4"/>
              <w:left w:val="nil"/>
              <w:bottom w:val="single" w:sz="8" w:space="0" w:color="E5EBF4"/>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Selling/General/Admin. Expenses, Total</w:t>
            </w:r>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4,354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4,713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5,206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Selling/General/Administrative Expense</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4,226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4,593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5,103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Labor &amp; Related Expense</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39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37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34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Advertising Expense</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89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83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69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Unusual Expense (Income)</w:t>
            </w:r>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Restructuring Charge</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Impairment-Assets Held for Use</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Operating Expense</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18,428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19,923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21,463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Operating Income</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1,940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2,063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2,008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Interest Expense, Net Non-Operating</w:t>
            </w:r>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(87)</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(98)</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(97)</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Interest Expense - Non-Operating</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(88)</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(99)</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(99)</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Interest Capitalized - Non-Operating</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Interest Inc.(Exp.),Net-Non-Op., Total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(87)</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(98)</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(97)</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Net</w:t>
            </w:r>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(4)</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Non-Operating Income (Expense)</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(4)</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Net Income Before Taxes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1,853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1,966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1,907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Provision for Income Taxes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688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714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679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Net Income After Taxes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1,165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1,251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1,228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Net Income Before Extra. Items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1,165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1,251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1,228 </w:t>
            </w:r>
          </w:p>
        </w:tc>
      </w:tr>
      <w:tr w:rsidR="008A369B" w:rsidRPr="008A369B" w:rsidTr="008A369B">
        <w:trPr>
          <w:trHeight w:val="300"/>
        </w:trPr>
        <w:tc>
          <w:tcPr>
            <w:tcW w:w="4125" w:type="dxa"/>
            <w:gridSpan w:val="2"/>
            <w:tcBorders>
              <w:top w:val="single" w:sz="8" w:space="0" w:color="E5EBF4"/>
              <w:left w:val="nil"/>
              <w:bottom w:val="single" w:sz="8" w:space="0" w:color="E5EBF4"/>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Extraordinary Item</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311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Extraordinary Items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311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Net Income</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1,165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1,539 </w:t>
            </w:r>
          </w:p>
        </w:tc>
      </w:tr>
      <w:tr w:rsidR="008A369B" w:rsidRPr="008A369B" w:rsidTr="008A369B">
        <w:trPr>
          <w:trHeight w:val="300"/>
        </w:trPr>
        <w:tc>
          <w:tcPr>
            <w:tcW w:w="4125" w:type="dxa"/>
            <w:gridSpan w:val="2"/>
            <w:tcBorders>
              <w:top w:val="single" w:sz="8" w:space="0" w:color="E5EBF4"/>
              <w:left w:val="nil"/>
              <w:bottom w:val="single" w:sz="8" w:space="0" w:color="E5EBF4"/>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Income Available to Com </w:t>
            </w:r>
            <w:proofErr w:type="spellStart"/>
            <w:r w:rsidRPr="008A369B">
              <w:rPr>
                <w:rFonts w:ascii="Calibri" w:eastAsia="Times New Roman" w:hAnsi="Calibri" w:cs="Calibri"/>
                <w:color w:val="000000"/>
                <w:sz w:val="20"/>
                <w:szCs w:val="20"/>
              </w:rPr>
              <w:t>Excl</w:t>
            </w:r>
            <w:proofErr w:type="spellEnd"/>
            <w:r w:rsidRPr="008A369B">
              <w:rPr>
                <w:rFonts w:ascii="Calibri" w:eastAsia="Times New Roman" w:hAnsi="Calibri" w:cs="Calibri"/>
                <w:color w:val="000000"/>
                <w:sz w:val="20"/>
                <w:szCs w:val="20"/>
              </w:rPr>
              <w:t xml:space="preserve"> </w:t>
            </w:r>
            <w:proofErr w:type="spellStart"/>
            <w:r w:rsidRPr="008A369B">
              <w:rPr>
                <w:rFonts w:ascii="Calibri" w:eastAsia="Times New Roman" w:hAnsi="Calibri" w:cs="Calibri"/>
                <w:color w:val="000000"/>
                <w:sz w:val="20"/>
                <w:szCs w:val="20"/>
              </w:rPr>
              <w:t>ExtraOrd</w:t>
            </w:r>
            <w:proofErr w:type="spellEnd"/>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1,165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1,251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1,228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Income Available to Com </w:t>
            </w:r>
            <w:proofErr w:type="spellStart"/>
            <w:r w:rsidRPr="008A369B">
              <w:rPr>
                <w:rFonts w:ascii="Calibri" w:eastAsia="Times New Roman" w:hAnsi="Calibri" w:cs="Calibri"/>
                <w:color w:val="000000"/>
                <w:sz w:val="20"/>
                <w:szCs w:val="20"/>
              </w:rPr>
              <w:t>Incl</w:t>
            </w:r>
            <w:proofErr w:type="spellEnd"/>
            <w:r w:rsidRPr="008A369B">
              <w:rPr>
                <w:rFonts w:ascii="Calibri" w:eastAsia="Times New Roman" w:hAnsi="Calibri" w:cs="Calibri"/>
                <w:color w:val="000000"/>
                <w:sz w:val="20"/>
                <w:szCs w:val="20"/>
              </w:rPr>
              <w:t xml:space="preserve"> </w:t>
            </w:r>
            <w:proofErr w:type="spellStart"/>
            <w:r w:rsidRPr="008A369B">
              <w:rPr>
                <w:rFonts w:ascii="Calibri" w:eastAsia="Times New Roman" w:hAnsi="Calibri" w:cs="Calibri"/>
                <w:color w:val="000000"/>
                <w:sz w:val="20"/>
                <w:szCs w:val="20"/>
              </w:rPr>
              <w:t>ExtraOrd</w:t>
            </w:r>
            <w:proofErr w:type="spellEnd"/>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1,165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1,251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1,539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lastRenderedPageBreak/>
              <w:t>Basic Weighted Average Shares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294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281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Basic EPS Excluding Extraordinary Items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3.96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4.45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4.50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Basic EPS Including Extraordinary Items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3.96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4.45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5.64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Dilution Adjustment</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Diluted Net Income</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1,165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1,251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1,539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Diluted Weighted Average Shares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282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Diluted EPS Excluding </w:t>
            </w:r>
            <w:proofErr w:type="spellStart"/>
            <w:r w:rsidRPr="008A369B">
              <w:rPr>
                <w:rFonts w:ascii="Calibri" w:eastAsia="Times New Roman" w:hAnsi="Calibri" w:cs="Calibri"/>
                <w:color w:val="000000"/>
                <w:sz w:val="20"/>
                <w:szCs w:val="20"/>
              </w:rPr>
              <w:t>ExtraOrd</w:t>
            </w:r>
            <w:proofErr w:type="spellEnd"/>
            <w:r w:rsidRPr="008A369B">
              <w:rPr>
                <w:rFonts w:ascii="Calibri" w:eastAsia="Times New Roman" w:hAnsi="Calibri" w:cs="Calibri"/>
                <w:color w:val="000000"/>
                <w:sz w:val="20"/>
                <w:szCs w:val="20"/>
              </w:rPr>
              <w:t xml:space="preserve"> Items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3.95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4.43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4.49 </w:t>
            </w:r>
          </w:p>
        </w:tc>
      </w:tr>
      <w:tr w:rsidR="008A369B" w:rsidRPr="008A369B" w:rsidTr="008A369B">
        <w:trPr>
          <w:trHeight w:val="288"/>
        </w:trPr>
        <w:tc>
          <w:tcPr>
            <w:tcW w:w="4125" w:type="dxa"/>
            <w:gridSpan w:val="2"/>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Diluted EPS Including </w:t>
            </w:r>
            <w:proofErr w:type="spellStart"/>
            <w:r w:rsidRPr="008A369B">
              <w:rPr>
                <w:rFonts w:ascii="Calibri" w:eastAsia="Times New Roman" w:hAnsi="Calibri" w:cs="Calibri"/>
                <w:color w:val="000000"/>
                <w:sz w:val="20"/>
                <w:szCs w:val="20"/>
              </w:rPr>
              <w:t>ExtraOrd</w:t>
            </w:r>
            <w:proofErr w:type="spellEnd"/>
            <w:r w:rsidRPr="008A369B">
              <w:rPr>
                <w:rFonts w:ascii="Calibri" w:eastAsia="Times New Roman" w:hAnsi="Calibri" w:cs="Calibri"/>
                <w:color w:val="000000"/>
                <w:sz w:val="20"/>
                <w:szCs w:val="20"/>
              </w:rPr>
              <w:t xml:space="preserve"> Items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3.95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4.43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5.63 </w:t>
            </w:r>
          </w:p>
        </w:tc>
      </w:tr>
      <w:tr w:rsidR="008A369B" w:rsidRPr="008A369B" w:rsidTr="008A369B">
        <w:trPr>
          <w:trHeight w:val="240"/>
        </w:trPr>
        <w:tc>
          <w:tcPr>
            <w:tcW w:w="4125" w:type="dxa"/>
            <w:gridSpan w:val="2"/>
            <w:tcBorders>
              <w:top w:val="nil"/>
              <w:left w:val="nil"/>
              <w:bottom w:val="single" w:sz="8" w:space="0" w:color="E5EBF4"/>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Supplemental ($ Millions)</w:t>
            </w:r>
          </w:p>
        </w:tc>
        <w:tc>
          <w:tcPr>
            <w:tcW w:w="1303"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DPS - Common Stock Primary Issue</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0.88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1.00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1.04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Gross Dividends - Common Stock</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258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281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283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Special Items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Normalized Income Before Taxes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1,865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1,972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1,915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Effect of Special Items on Income Taxes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proofErr w:type="spellStart"/>
            <w:r w:rsidRPr="008A369B">
              <w:rPr>
                <w:rFonts w:ascii="Calibri" w:eastAsia="Times New Roman" w:hAnsi="Calibri" w:cs="Calibri"/>
                <w:color w:val="000000"/>
                <w:sz w:val="20"/>
                <w:szCs w:val="20"/>
              </w:rPr>
              <w:t>Inc</w:t>
            </w:r>
            <w:proofErr w:type="spellEnd"/>
            <w:r w:rsidRPr="008A369B">
              <w:rPr>
                <w:rFonts w:ascii="Calibri" w:eastAsia="Times New Roman" w:hAnsi="Calibri" w:cs="Calibri"/>
                <w:color w:val="000000"/>
                <w:sz w:val="20"/>
                <w:szCs w:val="20"/>
              </w:rPr>
              <w:t xml:space="preserve"> Tax Ex Impact of </w:t>
            </w:r>
            <w:proofErr w:type="spellStart"/>
            <w:r w:rsidRPr="008A369B">
              <w:rPr>
                <w:rFonts w:ascii="Calibri" w:eastAsia="Times New Roman" w:hAnsi="Calibri" w:cs="Calibri"/>
                <w:color w:val="000000"/>
                <w:sz w:val="20"/>
                <w:szCs w:val="20"/>
              </w:rPr>
              <w:t>Sp</w:t>
            </w:r>
            <w:proofErr w:type="spellEnd"/>
            <w:r w:rsidRPr="008A369B">
              <w:rPr>
                <w:rFonts w:ascii="Calibri" w:eastAsia="Times New Roman" w:hAnsi="Calibri" w:cs="Calibri"/>
                <w:color w:val="000000"/>
                <w:sz w:val="20"/>
                <w:szCs w:val="20"/>
              </w:rPr>
              <w:t xml:space="preserve"> Items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692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717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682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Normalized Income After Taxes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1,173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1,255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1,233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Normalized Inc. Avail to Com.</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1,173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1,255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1,233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Basic Normalized EPS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3.98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4.46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4.52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Diluted Normalized EPS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3.97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4.45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4.51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proofErr w:type="spellStart"/>
            <w:r w:rsidRPr="008A369B">
              <w:rPr>
                <w:rFonts w:ascii="Calibri" w:eastAsia="Times New Roman" w:hAnsi="Calibri" w:cs="Calibri"/>
                <w:color w:val="000000"/>
                <w:sz w:val="20"/>
                <w:szCs w:val="20"/>
              </w:rPr>
              <w:t>Amort</w:t>
            </w:r>
            <w:proofErr w:type="spellEnd"/>
            <w:r w:rsidRPr="008A369B">
              <w:rPr>
                <w:rFonts w:ascii="Calibri" w:eastAsia="Times New Roman" w:hAnsi="Calibri" w:cs="Calibri"/>
                <w:color w:val="000000"/>
                <w:sz w:val="20"/>
                <w:szCs w:val="20"/>
              </w:rPr>
              <w:t xml:space="preserve"> of Intangibles, Supplemental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Depreciation, Supplemental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352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380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404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Interest Expense, Supplemental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87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98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97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Interest Capitalized, Supplemental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(1)</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(1)</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(2)</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Rental Expense, Supplemental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857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942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1,082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Labor &amp; Related Expense Suppl.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39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37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34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Stock-Based Compensation, Supplemental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39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37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34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Advertising Expense, Supplemental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89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69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Income Taxes - Non-Recurring Tax Change</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(311)</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Audit Fees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Audit-Related Fees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Tax Fees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All Other Fees</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Normalized EBIT</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1,952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2,070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2,016 </w:t>
            </w:r>
          </w:p>
        </w:tc>
      </w:tr>
      <w:tr w:rsidR="008A369B" w:rsidRPr="008A369B" w:rsidTr="008A369B">
        <w:trPr>
          <w:trHeight w:val="288"/>
        </w:trPr>
        <w:tc>
          <w:tcPr>
            <w:tcW w:w="4125" w:type="dxa"/>
            <w:gridSpan w:val="2"/>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Normalized EBITDA</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2,305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2,450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2,420 </w:t>
            </w:r>
          </w:p>
        </w:tc>
      </w:tr>
      <w:tr w:rsidR="008A369B" w:rsidRPr="008A369B" w:rsidTr="008A369B">
        <w:trPr>
          <w:trHeight w:val="240"/>
        </w:trPr>
        <w:tc>
          <w:tcPr>
            <w:tcW w:w="4125" w:type="dxa"/>
            <w:gridSpan w:val="2"/>
            <w:tcBorders>
              <w:top w:val="nil"/>
              <w:left w:val="nil"/>
              <w:bottom w:val="single" w:sz="8" w:space="0" w:color="E5EBF4"/>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Tax &amp; Pension Items ($ Millions)</w:t>
            </w:r>
          </w:p>
        </w:tc>
        <w:tc>
          <w:tcPr>
            <w:tcW w:w="1303"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Current Tax - Total</w:t>
            </w:r>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676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702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506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Current Tax - Domestic</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590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613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427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Current Tax - Foreign</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Current Tax - Local</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84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89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79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Deferred Tax - Total</w:t>
            </w:r>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173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Deferred Tax - Domestic</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151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Deferred Tax - Foreign</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Deferred Tax - Local</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22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Income Tax - Total</w:t>
            </w:r>
          </w:p>
        </w:tc>
        <w:tc>
          <w:tcPr>
            <w:tcW w:w="1303"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688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714 </w:t>
            </w:r>
          </w:p>
        </w:tc>
        <w:tc>
          <w:tcPr>
            <w:tcW w:w="1256"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679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lastRenderedPageBreak/>
              <w:t>Total Pension Expense</w:t>
            </w:r>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16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17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18 </w:t>
            </w:r>
          </w:p>
        </w:tc>
      </w:tr>
      <w:tr w:rsidR="008A369B" w:rsidRPr="008A369B" w:rsidTr="008A369B">
        <w:trPr>
          <w:trHeight w:val="288"/>
        </w:trPr>
        <w:tc>
          <w:tcPr>
            <w:tcW w:w="4125" w:type="dxa"/>
            <w:gridSpan w:val="2"/>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Defined Contribution Expense - Domestic</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16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17 </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18 </w:t>
            </w:r>
          </w:p>
        </w:tc>
      </w:tr>
      <w:tr w:rsidR="008A369B" w:rsidRPr="008A369B" w:rsidTr="008A369B">
        <w:trPr>
          <w:trHeight w:val="300"/>
        </w:trPr>
        <w:tc>
          <w:tcPr>
            <w:tcW w:w="4125" w:type="dxa"/>
            <w:gridSpan w:val="2"/>
            <w:tcBorders>
              <w:top w:val="nil"/>
              <w:left w:val="nil"/>
              <w:bottom w:val="single" w:sz="8" w:space="0" w:color="E5EBF4"/>
              <w:right w:val="nil"/>
            </w:tcBorders>
            <w:shd w:val="clear" w:color="000000" w:fill="C8D7DE"/>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Dividends and Capital Changes</w:t>
            </w:r>
          </w:p>
        </w:tc>
        <w:tc>
          <w:tcPr>
            <w:tcW w:w="1303" w:type="dxa"/>
            <w:tcBorders>
              <w:top w:val="nil"/>
              <w:left w:val="nil"/>
              <w:bottom w:val="nil"/>
              <w:right w:val="nil"/>
            </w:tcBorders>
            <w:shd w:val="clear" w:color="000000" w:fill="C8D7DE"/>
            <w:vAlign w:val="bottom"/>
            <w:hideMark/>
          </w:tcPr>
          <w:p w:rsidR="008A369B" w:rsidRPr="008A369B" w:rsidRDefault="008A369B" w:rsidP="008A369B">
            <w:pPr>
              <w:spacing w:after="0" w:line="240" w:lineRule="auto"/>
              <w:rPr>
                <w:rFonts w:ascii="Calibri" w:eastAsia="Times New Roman" w:hAnsi="Calibri" w:cs="Calibri"/>
                <w:color w:val="000000"/>
              </w:rPr>
            </w:pPr>
            <w:r w:rsidRPr="008A369B">
              <w:rPr>
                <w:rFonts w:ascii="Calibri" w:eastAsia="Times New Roman" w:hAnsi="Calibri" w:cs="Calibri"/>
                <w:color w:val="000000"/>
              </w:rPr>
              <w:t> </w:t>
            </w:r>
          </w:p>
        </w:tc>
        <w:tc>
          <w:tcPr>
            <w:tcW w:w="1256" w:type="dxa"/>
            <w:tcBorders>
              <w:top w:val="nil"/>
              <w:left w:val="nil"/>
              <w:bottom w:val="nil"/>
              <w:right w:val="nil"/>
            </w:tcBorders>
            <w:shd w:val="clear" w:color="000000" w:fill="C8D7DE"/>
            <w:vAlign w:val="bottom"/>
            <w:hideMark/>
          </w:tcPr>
          <w:p w:rsidR="008A369B" w:rsidRPr="008A369B" w:rsidRDefault="008A369B" w:rsidP="008A369B">
            <w:pPr>
              <w:spacing w:after="0" w:line="240" w:lineRule="auto"/>
              <w:rPr>
                <w:rFonts w:ascii="Calibri" w:eastAsia="Times New Roman" w:hAnsi="Calibri" w:cs="Calibri"/>
                <w:color w:val="000000"/>
              </w:rPr>
            </w:pPr>
            <w:r w:rsidRPr="008A369B">
              <w:rPr>
                <w:rFonts w:ascii="Calibri" w:eastAsia="Times New Roman" w:hAnsi="Calibri" w:cs="Calibri"/>
                <w:color w:val="000000"/>
              </w:rPr>
              <w:t> </w:t>
            </w:r>
          </w:p>
        </w:tc>
        <w:tc>
          <w:tcPr>
            <w:tcW w:w="1256" w:type="dxa"/>
            <w:tcBorders>
              <w:top w:val="nil"/>
              <w:left w:val="nil"/>
              <w:bottom w:val="nil"/>
              <w:right w:val="nil"/>
            </w:tcBorders>
            <w:shd w:val="clear" w:color="000000" w:fill="C8D7DE"/>
            <w:vAlign w:val="bottom"/>
            <w:hideMark/>
          </w:tcPr>
          <w:p w:rsidR="008A369B" w:rsidRPr="008A369B" w:rsidRDefault="008A369B" w:rsidP="008A369B">
            <w:pPr>
              <w:spacing w:after="0" w:line="240" w:lineRule="auto"/>
              <w:rPr>
                <w:rFonts w:ascii="Calibri" w:eastAsia="Times New Roman" w:hAnsi="Calibri" w:cs="Calibri"/>
                <w:color w:val="000000"/>
              </w:rPr>
            </w:pPr>
            <w:r w:rsidRPr="008A369B">
              <w:rPr>
                <w:rFonts w:ascii="Calibri" w:eastAsia="Times New Roman" w:hAnsi="Calibri" w:cs="Calibri"/>
                <w:color w:val="000000"/>
              </w:rPr>
              <w:t> </w:t>
            </w: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Dollar General </w:t>
            </w:r>
            <w:proofErr w:type="spellStart"/>
            <w:r w:rsidRPr="008A369B">
              <w:rPr>
                <w:rFonts w:ascii="Calibri" w:eastAsia="Times New Roman" w:hAnsi="Calibri" w:cs="Calibri"/>
                <w:color w:val="000000"/>
                <w:sz w:val="20"/>
                <w:szCs w:val="20"/>
              </w:rPr>
              <w:t>Ord</w:t>
            </w:r>
            <w:proofErr w:type="spellEnd"/>
            <w:r w:rsidRPr="008A369B">
              <w:rPr>
                <w:rFonts w:ascii="Calibri" w:eastAsia="Times New Roman" w:hAnsi="Calibri" w:cs="Calibri"/>
                <w:color w:val="000000"/>
                <w:sz w:val="20"/>
                <w:szCs w:val="20"/>
              </w:rPr>
              <w:t xml:space="preserve"> </w:t>
            </w:r>
            <w:proofErr w:type="spellStart"/>
            <w:r w:rsidRPr="008A369B">
              <w:rPr>
                <w:rFonts w:ascii="Calibri" w:eastAsia="Times New Roman" w:hAnsi="Calibri" w:cs="Calibri"/>
                <w:color w:val="000000"/>
                <w:sz w:val="20"/>
                <w:szCs w:val="20"/>
              </w:rPr>
              <w:t>Shs</w:t>
            </w:r>
            <w:proofErr w:type="spellEnd"/>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288"/>
        </w:trPr>
        <w:tc>
          <w:tcPr>
            <w:tcW w:w="4125" w:type="dxa"/>
            <w:gridSpan w:val="2"/>
            <w:vMerge w:val="restart"/>
            <w:tcBorders>
              <w:top w:val="single" w:sz="8" w:space="0" w:color="E5EBF4"/>
              <w:left w:val="nil"/>
              <w:bottom w:val="nil"/>
              <w:right w:val="single" w:sz="8" w:space="0" w:color="CCCCCC"/>
            </w:tcBorders>
            <w:shd w:val="clear" w:color="000000" w:fill="F2F4F9"/>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Cash Dividend</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$0.22 F</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$0.25 F</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$0.26 F</w:t>
            </w:r>
          </w:p>
        </w:tc>
      </w:tr>
      <w:tr w:rsidR="008A369B" w:rsidRPr="008A369B" w:rsidTr="008A369B">
        <w:trPr>
          <w:trHeight w:val="300"/>
        </w:trPr>
        <w:tc>
          <w:tcPr>
            <w:tcW w:w="4125" w:type="dxa"/>
            <w:gridSpan w:val="2"/>
            <w:vMerge/>
            <w:tcBorders>
              <w:top w:val="single" w:sz="8" w:space="0" w:color="E5EBF4"/>
              <w:left w:val="nil"/>
              <w:bottom w:val="nil"/>
              <w:right w:val="single" w:sz="8" w:space="0" w:color="CCCCCC"/>
            </w:tcBorders>
            <w:vAlign w:val="center"/>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303"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(03-Dec) Ann. </w:t>
            </w:r>
          </w:p>
        </w:tc>
        <w:tc>
          <w:tcPr>
            <w:tcW w:w="1256"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(01-Dec) Ann. </w:t>
            </w:r>
          </w:p>
        </w:tc>
        <w:tc>
          <w:tcPr>
            <w:tcW w:w="1256"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(07-Dec) Ann. </w:t>
            </w:r>
          </w:p>
        </w:tc>
      </w:tr>
      <w:tr w:rsidR="008A369B" w:rsidRPr="008A369B" w:rsidTr="008A369B">
        <w:trPr>
          <w:trHeight w:val="288"/>
        </w:trPr>
        <w:tc>
          <w:tcPr>
            <w:tcW w:w="4125" w:type="dxa"/>
            <w:gridSpan w:val="2"/>
            <w:vMerge/>
            <w:tcBorders>
              <w:top w:val="single" w:sz="8" w:space="0" w:color="E5EBF4"/>
              <w:left w:val="nil"/>
              <w:bottom w:val="nil"/>
              <w:right w:val="single" w:sz="8" w:space="0" w:color="CCCCCC"/>
            </w:tcBorders>
            <w:vAlign w:val="center"/>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$0.22 I</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$0.25 I</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$0.26 I</w:t>
            </w:r>
          </w:p>
        </w:tc>
      </w:tr>
      <w:tr w:rsidR="008A369B" w:rsidRPr="008A369B" w:rsidTr="008A369B">
        <w:trPr>
          <w:trHeight w:val="564"/>
        </w:trPr>
        <w:tc>
          <w:tcPr>
            <w:tcW w:w="4125" w:type="dxa"/>
            <w:gridSpan w:val="2"/>
            <w:vMerge/>
            <w:tcBorders>
              <w:top w:val="single" w:sz="8" w:space="0" w:color="E5EBF4"/>
              <w:left w:val="nil"/>
              <w:bottom w:val="nil"/>
              <w:right w:val="single" w:sz="8" w:space="0" w:color="CCCCCC"/>
            </w:tcBorders>
            <w:vAlign w:val="center"/>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303"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(28-May) Ann. </w:t>
            </w:r>
          </w:p>
        </w:tc>
        <w:tc>
          <w:tcPr>
            <w:tcW w:w="1256"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(25-Aug) Ann. </w:t>
            </w:r>
          </w:p>
        </w:tc>
        <w:tc>
          <w:tcPr>
            <w:tcW w:w="1256"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(31-Aug) Ann. </w:t>
            </w:r>
          </w:p>
        </w:tc>
      </w:tr>
      <w:tr w:rsidR="008A369B" w:rsidRPr="008A369B" w:rsidTr="008A369B">
        <w:trPr>
          <w:trHeight w:val="288"/>
        </w:trPr>
        <w:tc>
          <w:tcPr>
            <w:tcW w:w="4125" w:type="dxa"/>
            <w:gridSpan w:val="2"/>
            <w:vMerge/>
            <w:tcBorders>
              <w:top w:val="single" w:sz="8" w:space="0" w:color="E5EBF4"/>
              <w:left w:val="nil"/>
              <w:bottom w:val="nil"/>
              <w:right w:val="single" w:sz="8" w:space="0" w:color="CCCCCC"/>
            </w:tcBorders>
            <w:vAlign w:val="center"/>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$0.22 I</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$0.25 I</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$0.26 I</w:t>
            </w:r>
          </w:p>
        </w:tc>
      </w:tr>
      <w:tr w:rsidR="008A369B" w:rsidRPr="008A369B" w:rsidTr="008A369B">
        <w:trPr>
          <w:trHeight w:val="564"/>
        </w:trPr>
        <w:tc>
          <w:tcPr>
            <w:tcW w:w="4125" w:type="dxa"/>
            <w:gridSpan w:val="2"/>
            <w:vMerge/>
            <w:tcBorders>
              <w:top w:val="single" w:sz="8" w:space="0" w:color="E5EBF4"/>
              <w:left w:val="nil"/>
              <w:bottom w:val="nil"/>
              <w:right w:val="single" w:sz="8" w:space="0" w:color="CCCCCC"/>
            </w:tcBorders>
            <w:vAlign w:val="center"/>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303"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(12-Mar) Ann. </w:t>
            </w:r>
          </w:p>
        </w:tc>
        <w:tc>
          <w:tcPr>
            <w:tcW w:w="1256"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(26-May) Ann. </w:t>
            </w:r>
          </w:p>
        </w:tc>
        <w:tc>
          <w:tcPr>
            <w:tcW w:w="1256"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(01-Jun) Ann. </w:t>
            </w:r>
          </w:p>
        </w:tc>
      </w:tr>
      <w:tr w:rsidR="008A369B" w:rsidRPr="008A369B" w:rsidTr="008A369B">
        <w:trPr>
          <w:trHeight w:val="288"/>
        </w:trPr>
        <w:tc>
          <w:tcPr>
            <w:tcW w:w="4125" w:type="dxa"/>
            <w:gridSpan w:val="2"/>
            <w:vMerge/>
            <w:tcBorders>
              <w:top w:val="single" w:sz="8" w:space="0" w:color="E5EBF4"/>
              <w:left w:val="nil"/>
              <w:bottom w:val="nil"/>
              <w:right w:val="single" w:sz="8" w:space="0" w:color="CCCCCC"/>
            </w:tcBorders>
            <w:vAlign w:val="center"/>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303" w:type="dxa"/>
            <w:vMerge w:val="restart"/>
            <w:tcBorders>
              <w:top w:val="single" w:sz="8" w:space="0" w:color="E5EBF4"/>
              <w:left w:val="single" w:sz="8" w:space="0" w:color="CCCCCC"/>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$0.25 I</w:t>
            </w:r>
          </w:p>
        </w:tc>
        <w:tc>
          <w:tcPr>
            <w:tcW w:w="1256"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$0.26 I</w:t>
            </w:r>
          </w:p>
        </w:tc>
      </w:tr>
      <w:tr w:rsidR="008A369B" w:rsidRPr="008A369B" w:rsidTr="008A369B">
        <w:trPr>
          <w:trHeight w:val="288"/>
        </w:trPr>
        <w:tc>
          <w:tcPr>
            <w:tcW w:w="4125" w:type="dxa"/>
            <w:gridSpan w:val="2"/>
            <w:vMerge/>
            <w:tcBorders>
              <w:top w:val="single" w:sz="8" w:space="0" w:color="E5EBF4"/>
              <w:left w:val="nil"/>
              <w:bottom w:val="nil"/>
              <w:right w:val="single" w:sz="8" w:space="0" w:color="CCCCCC"/>
            </w:tcBorders>
            <w:vAlign w:val="center"/>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303" w:type="dxa"/>
            <w:vMerge/>
            <w:tcBorders>
              <w:top w:val="single" w:sz="8" w:space="0" w:color="E5EBF4"/>
              <w:left w:val="single" w:sz="8" w:space="0" w:color="CCCCCC"/>
              <w:bottom w:val="nil"/>
              <w:right w:val="nil"/>
            </w:tcBorders>
            <w:vAlign w:val="center"/>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(10-Mar) Ann. </w:t>
            </w:r>
          </w:p>
        </w:tc>
        <w:tc>
          <w:tcPr>
            <w:tcW w:w="1256"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(16-Mar) Ann. </w:t>
            </w:r>
          </w:p>
        </w:tc>
      </w:tr>
      <w:tr w:rsidR="008A369B" w:rsidRPr="008A369B" w:rsidTr="008A369B">
        <w:trPr>
          <w:trHeight w:val="300"/>
        </w:trPr>
        <w:tc>
          <w:tcPr>
            <w:tcW w:w="4125" w:type="dxa"/>
            <w:gridSpan w:val="2"/>
            <w:tcBorders>
              <w:top w:val="nil"/>
              <w:left w:val="nil"/>
              <w:bottom w:val="single" w:sz="8" w:space="0" w:color="E5EBF4"/>
              <w:right w:val="nil"/>
            </w:tcBorders>
            <w:shd w:val="clear" w:color="000000" w:fill="C8D7DE"/>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Dividends &amp; Capital Changes After Feb-2018</w:t>
            </w:r>
          </w:p>
        </w:tc>
        <w:tc>
          <w:tcPr>
            <w:tcW w:w="1303" w:type="dxa"/>
            <w:tcBorders>
              <w:top w:val="nil"/>
              <w:left w:val="nil"/>
              <w:bottom w:val="nil"/>
              <w:right w:val="nil"/>
            </w:tcBorders>
            <w:shd w:val="clear" w:color="000000" w:fill="C8D7DE"/>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Dollar General </w:t>
            </w:r>
            <w:proofErr w:type="spellStart"/>
            <w:r w:rsidRPr="008A369B">
              <w:rPr>
                <w:rFonts w:ascii="Calibri" w:eastAsia="Times New Roman" w:hAnsi="Calibri" w:cs="Calibri"/>
                <w:color w:val="000000"/>
                <w:sz w:val="20"/>
                <w:szCs w:val="20"/>
              </w:rPr>
              <w:t>Ord</w:t>
            </w:r>
            <w:proofErr w:type="spellEnd"/>
            <w:r w:rsidRPr="008A369B">
              <w:rPr>
                <w:rFonts w:ascii="Calibri" w:eastAsia="Times New Roman" w:hAnsi="Calibri" w:cs="Calibri"/>
                <w:color w:val="000000"/>
                <w:sz w:val="20"/>
                <w:szCs w:val="20"/>
              </w:rPr>
              <w:t xml:space="preserve"> </w:t>
            </w:r>
            <w:proofErr w:type="spellStart"/>
            <w:r w:rsidRPr="008A369B">
              <w:rPr>
                <w:rFonts w:ascii="Calibri" w:eastAsia="Times New Roman" w:hAnsi="Calibri" w:cs="Calibri"/>
                <w:color w:val="000000"/>
                <w:sz w:val="20"/>
                <w:szCs w:val="20"/>
              </w:rPr>
              <w:t>Shs</w:t>
            </w:r>
            <w:proofErr w:type="spellEnd"/>
          </w:p>
        </w:tc>
        <w:tc>
          <w:tcPr>
            <w:tcW w:w="1303"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1064" w:type="dxa"/>
            <w:tcBorders>
              <w:top w:val="nil"/>
              <w:left w:val="nil"/>
              <w:bottom w:val="nil"/>
              <w:right w:val="nil"/>
            </w:tcBorders>
            <w:shd w:val="clear" w:color="000000" w:fill="F2F4F9"/>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2018</w:t>
            </w:r>
          </w:p>
        </w:tc>
        <w:tc>
          <w:tcPr>
            <w:tcW w:w="3061" w:type="dxa"/>
            <w:tcBorders>
              <w:top w:val="nil"/>
              <w:left w:val="nil"/>
              <w:bottom w:val="nil"/>
              <w:right w:val="single" w:sz="8" w:space="0" w:color="CCCCCC"/>
            </w:tcBorders>
            <w:shd w:val="clear" w:color="000000" w:fill="F2F4F9"/>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Cash Dividend</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$0.29 I</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1064" w:type="dxa"/>
            <w:tcBorders>
              <w:top w:val="single" w:sz="8" w:space="0" w:color="E5EBF4"/>
              <w:left w:val="nil"/>
              <w:bottom w:val="nil"/>
              <w:right w:val="nil"/>
            </w:tcBorders>
            <w:shd w:val="clear" w:color="000000" w:fill="F2F4F9"/>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303"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(30-Aug) Ann. </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1064" w:type="dxa"/>
            <w:tcBorders>
              <w:top w:val="single" w:sz="8" w:space="0" w:color="E5EBF4"/>
              <w:left w:val="nil"/>
              <w:bottom w:val="nil"/>
              <w:right w:val="nil"/>
            </w:tcBorders>
            <w:shd w:val="clear" w:color="000000" w:fill="F2F4F9"/>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$0.29 I</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564"/>
        </w:trPr>
        <w:tc>
          <w:tcPr>
            <w:tcW w:w="1064" w:type="dxa"/>
            <w:tcBorders>
              <w:top w:val="single" w:sz="8" w:space="0" w:color="E5EBF4"/>
              <w:left w:val="nil"/>
              <w:bottom w:val="nil"/>
              <w:right w:val="nil"/>
            </w:tcBorders>
            <w:shd w:val="clear" w:color="000000" w:fill="F2F4F9"/>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303"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(31-May) Ann. </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1064" w:type="dxa"/>
            <w:tcBorders>
              <w:top w:val="single" w:sz="8" w:space="0" w:color="E5EBF4"/>
              <w:left w:val="nil"/>
              <w:bottom w:val="nil"/>
              <w:right w:val="nil"/>
            </w:tcBorders>
            <w:shd w:val="clear" w:color="000000" w:fill="F2F4F9"/>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$0.29 I</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1064" w:type="dxa"/>
            <w:tcBorders>
              <w:top w:val="single" w:sz="8" w:space="0" w:color="E5EBF4"/>
              <w:left w:val="nil"/>
              <w:bottom w:val="nil"/>
              <w:right w:val="nil"/>
            </w:tcBorders>
            <w:shd w:val="clear" w:color="000000" w:fill="F2F4F9"/>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303"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(15-Mar) Ann. </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1064" w:type="dxa"/>
            <w:tcBorders>
              <w:top w:val="single" w:sz="8" w:space="0" w:color="E5EBF4"/>
              <w:left w:val="nil"/>
              <w:bottom w:val="nil"/>
              <w:right w:val="nil"/>
            </w:tcBorders>
            <w:shd w:val="clear" w:color="000000" w:fill="F2F4F9"/>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Buyback</w:t>
            </w:r>
          </w:p>
        </w:tc>
        <w:tc>
          <w:tcPr>
            <w:tcW w:w="1303"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Adj. Factor 1x</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288"/>
        </w:trPr>
        <w:tc>
          <w:tcPr>
            <w:tcW w:w="1064" w:type="dxa"/>
            <w:tcBorders>
              <w:top w:val="single" w:sz="8" w:space="0" w:color="E5EBF4"/>
              <w:left w:val="nil"/>
              <w:bottom w:val="nil"/>
              <w:right w:val="nil"/>
            </w:tcBorders>
            <w:shd w:val="clear" w:color="000000" w:fill="F2F4F9"/>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303" w:type="dxa"/>
            <w:tcBorders>
              <w:top w:val="nil"/>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(31-May) </w:t>
            </w: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288"/>
        </w:trPr>
        <w:tc>
          <w:tcPr>
            <w:tcW w:w="1064"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c>
          <w:tcPr>
            <w:tcW w:w="3061"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bl>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2B65A9">
      <w:pPr>
        <w:rPr>
          <w:rFonts w:asciiTheme="majorBidi" w:hAnsiTheme="majorBidi" w:cstheme="majorBidi"/>
          <w:b/>
          <w:bCs/>
          <w:sz w:val="24"/>
          <w:szCs w:val="24"/>
        </w:rPr>
      </w:pPr>
    </w:p>
    <w:p w:rsidR="008A369B" w:rsidRDefault="008A369B" w:rsidP="008A369B">
      <w:pPr>
        <w:rPr>
          <w:rFonts w:asciiTheme="majorBidi" w:hAnsiTheme="majorBidi" w:cstheme="majorBidi"/>
          <w:b/>
          <w:bCs/>
          <w:sz w:val="24"/>
          <w:szCs w:val="24"/>
        </w:rPr>
      </w:pPr>
      <w:r>
        <w:rPr>
          <w:rFonts w:asciiTheme="majorBidi" w:hAnsiTheme="majorBidi" w:cstheme="majorBidi"/>
          <w:b/>
          <w:bCs/>
          <w:sz w:val="24"/>
          <w:szCs w:val="24"/>
        </w:rPr>
        <w:lastRenderedPageBreak/>
        <w:t>Appendix D: Balance Sheet of Dollar General – circa 2016, 2017, 2018– via “</w:t>
      </w:r>
      <w:proofErr w:type="spellStart"/>
      <w:r>
        <w:rPr>
          <w:rFonts w:asciiTheme="majorBidi" w:hAnsiTheme="majorBidi" w:cstheme="majorBidi"/>
          <w:b/>
          <w:bCs/>
          <w:sz w:val="24"/>
          <w:szCs w:val="24"/>
        </w:rPr>
        <w:t>Eikon</w:t>
      </w:r>
      <w:proofErr w:type="spellEnd"/>
      <w:r>
        <w:rPr>
          <w:rFonts w:asciiTheme="majorBidi" w:hAnsiTheme="majorBidi" w:cstheme="majorBidi"/>
          <w:b/>
          <w:bCs/>
          <w:sz w:val="24"/>
          <w:szCs w:val="24"/>
        </w:rPr>
        <w:t>”</w:t>
      </w:r>
    </w:p>
    <w:tbl>
      <w:tblPr>
        <w:tblW w:w="7912" w:type="dxa"/>
        <w:tblLook w:val="04A0" w:firstRow="1" w:lastRow="0" w:firstColumn="1" w:lastColumn="0" w:noHBand="0" w:noVBand="1"/>
      </w:tblPr>
      <w:tblGrid>
        <w:gridCol w:w="4272"/>
        <w:gridCol w:w="1200"/>
        <w:gridCol w:w="1220"/>
        <w:gridCol w:w="1220"/>
      </w:tblGrid>
      <w:tr w:rsidR="008A369B" w:rsidRPr="008A369B" w:rsidTr="008A369B">
        <w:trPr>
          <w:trHeight w:val="300"/>
        </w:trPr>
        <w:tc>
          <w:tcPr>
            <w:tcW w:w="4272"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Annual </w:t>
            </w:r>
            <w:proofErr w:type="spellStart"/>
            <w:r w:rsidRPr="008A369B">
              <w:rPr>
                <w:rFonts w:ascii="Calibri" w:eastAsia="Times New Roman" w:hAnsi="Calibri" w:cs="Calibri"/>
                <w:color w:val="000000"/>
                <w:sz w:val="20"/>
                <w:szCs w:val="20"/>
              </w:rPr>
              <w:t>Standardised</w:t>
            </w:r>
            <w:proofErr w:type="spellEnd"/>
            <w:r w:rsidRPr="008A369B">
              <w:rPr>
                <w:rFonts w:ascii="Calibri" w:eastAsia="Times New Roman" w:hAnsi="Calibri" w:cs="Calibri"/>
                <w:color w:val="000000"/>
                <w:sz w:val="20"/>
                <w:szCs w:val="20"/>
              </w:rPr>
              <w:t xml:space="preserve"> in Millions of U.S. Dollars</w:t>
            </w:r>
          </w:p>
        </w:tc>
        <w:tc>
          <w:tcPr>
            <w:tcW w:w="1200"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p>
        </w:tc>
        <w:tc>
          <w:tcPr>
            <w:tcW w:w="1220"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8A369B" w:rsidRPr="008A369B" w:rsidRDefault="008A369B" w:rsidP="008A369B">
            <w:pPr>
              <w:spacing w:after="0" w:line="240" w:lineRule="auto"/>
              <w:rPr>
                <w:rFonts w:ascii="Times New Roman" w:eastAsia="Times New Roman" w:hAnsi="Times New Roman" w:cs="Times New Roman"/>
                <w:sz w:val="20"/>
                <w:szCs w:val="20"/>
              </w:rPr>
            </w:pPr>
          </w:p>
        </w:tc>
      </w:tr>
      <w:tr w:rsidR="008A369B" w:rsidRPr="008A369B" w:rsidTr="008A369B">
        <w:trPr>
          <w:trHeight w:val="300"/>
        </w:trPr>
        <w:tc>
          <w:tcPr>
            <w:tcW w:w="4272" w:type="dxa"/>
            <w:tcBorders>
              <w:top w:val="single" w:sz="8" w:space="0" w:color="FFFFFF"/>
              <w:left w:val="single" w:sz="8" w:space="0" w:color="FFFFFF"/>
              <w:bottom w:val="single" w:sz="8" w:space="0" w:color="FFFFFF"/>
              <w:right w:val="single" w:sz="8" w:space="0" w:color="FFFFFF"/>
            </w:tcBorders>
            <w:shd w:val="clear" w:color="000000" w:fill="ABC4EA"/>
            <w:noWrap/>
            <w:vAlign w:val="bottom"/>
            <w:hideMark/>
          </w:tcPr>
          <w:p w:rsidR="008A369B" w:rsidRPr="008A369B" w:rsidRDefault="008A369B" w:rsidP="008A369B">
            <w:pPr>
              <w:spacing w:after="0" w:line="240" w:lineRule="auto"/>
              <w:rPr>
                <w:rFonts w:ascii="Calibri" w:eastAsia="Times New Roman" w:hAnsi="Calibri" w:cs="Calibri"/>
                <w:b/>
                <w:bCs/>
                <w:color w:val="000000"/>
                <w:sz w:val="20"/>
                <w:szCs w:val="20"/>
              </w:rPr>
            </w:pPr>
            <w:r w:rsidRPr="008A369B">
              <w:rPr>
                <w:rFonts w:ascii="Calibri" w:eastAsia="Times New Roman" w:hAnsi="Calibri" w:cs="Calibri"/>
                <w:b/>
                <w:bCs/>
                <w:color w:val="000000"/>
                <w:sz w:val="20"/>
                <w:szCs w:val="20"/>
              </w:rPr>
              <w:t> </w:t>
            </w:r>
          </w:p>
        </w:tc>
        <w:tc>
          <w:tcPr>
            <w:tcW w:w="1200" w:type="dxa"/>
            <w:tcBorders>
              <w:top w:val="single" w:sz="8" w:space="0" w:color="FFFFFF"/>
              <w:left w:val="nil"/>
              <w:bottom w:val="single" w:sz="8" w:space="0" w:color="FFFFFF"/>
              <w:right w:val="single" w:sz="8" w:space="0" w:color="FFFFFF"/>
            </w:tcBorders>
            <w:shd w:val="clear" w:color="000000" w:fill="ABC4EA"/>
            <w:noWrap/>
            <w:vAlign w:val="bottom"/>
            <w:hideMark/>
          </w:tcPr>
          <w:p w:rsidR="008A369B" w:rsidRPr="008A369B" w:rsidRDefault="008A369B" w:rsidP="008A369B">
            <w:pPr>
              <w:spacing w:after="0" w:line="240" w:lineRule="auto"/>
              <w:jc w:val="right"/>
              <w:rPr>
                <w:rFonts w:ascii="Calibri" w:eastAsia="Times New Roman" w:hAnsi="Calibri" w:cs="Calibri"/>
                <w:b/>
                <w:bCs/>
                <w:color w:val="000000"/>
                <w:sz w:val="20"/>
                <w:szCs w:val="20"/>
              </w:rPr>
            </w:pPr>
            <w:r w:rsidRPr="008A369B">
              <w:rPr>
                <w:rFonts w:ascii="Calibri" w:eastAsia="Times New Roman" w:hAnsi="Calibri" w:cs="Calibri"/>
                <w:b/>
                <w:bCs/>
                <w:color w:val="000000"/>
                <w:sz w:val="20"/>
                <w:szCs w:val="20"/>
              </w:rPr>
              <w:t>2016</w:t>
            </w:r>
          </w:p>
        </w:tc>
        <w:tc>
          <w:tcPr>
            <w:tcW w:w="1220" w:type="dxa"/>
            <w:tcBorders>
              <w:top w:val="single" w:sz="8" w:space="0" w:color="FFFFFF"/>
              <w:left w:val="nil"/>
              <w:bottom w:val="single" w:sz="8" w:space="0" w:color="FFFFFF"/>
              <w:right w:val="single" w:sz="8" w:space="0" w:color="FFFFFF"/>
            </w:tcBorders>
            <w:shd w:val="clear" w:color="000000" w:fill="ABC4EA"/>
            <w:noWrap/>
            <w:vAlign w:val="bottom"/>
            <w:hideMark/>
          </w:tcPr>
          <w:p w:rsidR="008A369B" w:rsidRPr="008A369B" w:rsidRDefault="008A369B" w:rsidP="008A369B">
            <w:pPr>
              <w:spacing w:after="0" w:line="240" w:lineRule="auto"/>
              <w:jc w:val="right"/>
              <w:rPr>
                <w:rFonts w:ascii="Calibri" w:eastAsia="Times New Roman" w:hAnsi="Calibri" w:cs="Calibri"/>
                <w:b/>
                <w:bCs/>
                <w:color w:val="000000"/>
                <w:sz w:val="20"/>
                <w:szCs w:val="20"/>
              </w:rPr>
            </w:pPr>
            <w:r w:rsidRPr="008A369B">
              <w:rPr>
                <w:rFonts w:ascii="Calibri" w:eastAsia="Times New Roman" w:hAnsi="Calibri" w:cs="Calibri"/>
                <w:b/>
                <w:bCs/>
                <w:color w:val="000000"/>
                <w:sz w:val="20"/>
                <w:szCs w:val="20"/>
              </w:rPr>
              <w:t>2017</w:t>
            </w:r>
          </w:p>
        </w:tc>
        <w:tc>
          <w:tcPr>
            <w:tcW w:w="1220" w:type="dxa"/>
            <w:tcBorders>
              <w:top w:val="single" w:sz="8" w:space="0" w:color="FFFFFF"/>
              <w:left w:val="nil"/>
              <w:bottom w:val="single" w:sz="8" w:space="0" w:color="FFFFFF"/>
              <w:right w:val="single" w:sz="8" w:space="0" w:color="FFFFFF"/>
            </w:tcBorders>
            <w:shd w:val="clear" w:color="000000" w:fill="ABC4EA"/>
            <w:noWrap/>
            <w:vAlign w:val="bottom"/>
            <w:hideMark/>
          </w:tcPr>
          <w:p w:rsidR="008A369B" w:rsidRPr="008A369B" w:rsidRDefault="008A369B" w:rsidP="008A369B">
            <w:pPr>
              <w:spacing w:after="0" w:line="240" w:lineRule="auto"/>
              <w:jc w:val="right"/>
              <w:rPr>
                <w:rFonts w:ascii="Calibri" w:eastAsia="Times New Roman" w:hAnsi="Calibri" w:cs="Calibri"/>
                <w:b/>
                <w:bCs/>
                <w:color w:val="000000"/>
                <w:sz w:val="20"/>
                <w:szCs w:val="20"/>
              </w:rPr>
            </w:pPr>
            <w:r w:rsidRPr="008A369B">
              <w:rPr>
                <w:rFonts w:ascii="Calibri" w:eastAsia="Times New Roman" w:hAnsi="Calibri" w:cs="Calibri"/>
                <w:b/>
                <w:bCs/>
                <w:color w:val="000000"/>
                <w:sz w:val="20"/>
                <w:szCs w:val="20"/>
              </w:rPr>
              <w:t>2018</w:t>
            </w:r>
          </w:p>
        </w:tc>
      </w:tr>
      <w:tr w:rsidR="008A369B" w:rsidRPr="008A369B" w:rsidTr="008A369B">
        <w:trPr>
          <w:trHeight w:val="285"/>
        </w:trPr>
        <w:tc>
          <w:tcPr>
            <w:tcW w:w="4272" w:type="dxa"/>
            <w:tcBorders>
              <w:top w:val="single" w:sz="8" w:space="0" w:color="C1C1C1"/>
              <w:left w:val="nil"/>
              <w:bottom w:val="single" w:sz="8" w:space="0" w:color="C1C1C1"/>
              <w:right w:val="single" w:sz="8" w:space="0" w:color="CCCCCC"/>
            </w:tcBorders>
            <w:shd w:val="clear" w:color="000000" w:fill="F5F6FA"/>
            <w:noWrap/>
            <w:vAlign w:val="bottom"/>
            <w:hideMark/>
          </w:tcPr>
          <w:p w:rsidR="008A369B" w:rsidRPr="008A369B" w:rsidRDefault="008A369B" w:rsidP="008A369B">
            <w:pPr>
              <w:spacing w:after="0" w:line="240" w:lineRule="auto"/>
              <w:rPr>
                <w:rFonts w:ascii="Calibri" w:eastAsia="Times New Roman" w:hAnsi="Calibri" w:cs="Calibri"/>
                <w:b/>
                <w:bCs/>
                <w:color w:val="000000"/>
              </w:rPr>
            </w:pPr>
            <w:r w:rsidRPr="008A369B">
              <w:rPr>
                <w:rFonts w:ascii="Calibri" w:eastAsia="Times New Roman" w:hAnsi="Calibri" w:cs="Calibri"/>
                <w:b/>
                <w:bCs/>
                <w:color w:val="000000"/>
              </w:rPr>
              <w:t>Earnings Quality Score</w:t>
            </w:r>
          </w:p>
        </w:tc>
        <w:tc>
          <w:tcPr>
            <w:tcW w:w="1200" w:type="dxa"/>
            <w:tcBorders>
              <w:top w:val="single" w:sz="8" w:space="0" w:color="C1C1C1"/>
              <w:left w:val="nil"/>
              <w:bottom w:val="single" w:sz="8" w:space="0" w:color="C1C1C1"/>
              <w:right w:val="nil"/>
            </w:tcBorders>
            <w:shd w:val="clear" w:color="000000" w:fill="E0E0E0"/>
            <w:noWrap/>
            <w:hideMark/>
          </w:tcPr>
          <w:p w:rsidR="008A369B" w:rsidRPr="008A369B" w:rsidRDefault="008A369B" w:rsidP="008A369B">
            <w:pPr>
              <w:spacing w:after="0" w:line="240" w:lineRule="auto"/>
              <w:jc w:val="center"/>
              <w:rPr>
                <w:rFonts w:ascii="Calibri" w:eastAsia="Times New Roman" w:hAnsi="Calibri" w:cs="Calibri"/>
                <w:b/>
                <w:bCs/>
                <w:color w:val="333333"/>
              </w:rPr>
            </w:pPr>
            <w:r w:rsidRPr="008A369B">
              <w:rPr>
                <w:rFonts w:ascii="Calibri" w:eastAsia="Times New Roman" w:hAnsi="Calibri" w:cs="Calibri"/>
                <w:b/>
                <w:bCs/>
                <w:color w:val="333333"/>
              </w:rPr>
              <w:t>68 </w:t>
            </w:r>
          </w:p>
        </w:tc>
        <w:tc>
          <w:tcPr>
            <w:tcW w:w="1220" w:type="dxa"/>
            <w:tcBorders>
              <w:top w:val="single" w:sz="8" w:space="0" w:color="C1C1C1"/>
              <w:left w:val="nil"/>
              <w:bottom w:val="single" w:sz="8" w:space="0" w:color="C1C1C1"/>
              <w:right w:val="nil"/>
            </w:tcBorders>
            <w:shd w:val="clear" w:color="000000" w:fill="A2D09C"/>
            <w:noWrap/>
            <w:hideMark/>
          </w:tcPr>
          <w:p w:rsidR="008A369B" w:rsidRPr="008A369B" w:rsidRDefault="008A369B" w:rsidP="008A369B">
            <w:pPr>
              <w:spacing w:after="0" w:line="240" w:lineRule="auto"/>
              <w:jc w:val="center"/>
              <w:rPr>
                <w:rFonts w:ascii="Calibri" w:eastAsia="Times New Roman" w:hAnsi="Calibri" w:cs="Calibri"/>
                <w:b/>
                <w:bCs/>
                <w:color w:val="000000"/>
              </w:rPr>
            </w:pPr>
            <w:r w:rsidRPr="008A369B">
              <w:rPr>
                <w:rFonts w:ascii="Calibri" w:eastAsia="Times New Roman" w:hAnsi="Calibri" w:cs="Calibri"/>
                <w:b/>
                <w:bCs/>
                <w:color w:val="000000"/>
              </w:rPr>
              <w:t>74 </w:t>
            </w:r>
          </w:p>
        </w:tc>
        <w:tc>
          <w:tcPr>
            <w:tcW w:w="1220" w:type="dxa"/>
            <w:tcBorders>
              <w:top w:val="single" w:sz="8" w:space="0" w:color="C1C1C1"/>
              <w:left w:val="nil"/>
              <w:bottom w:val="single" w:sz="8" w:space="0" w:color="C1C1C1"/>
              <w:right w:val="nil"/>
            </w:tcBorders>
            <w:shd w:val="clear" w:color="000000" w:fill="A2D09C"/>
            <w:noWrap/>
            <w:hideMark/>
          </w:tcPr>
          <w:p w:rsidR="008A369B" w:rsidRPr="008A369B" w:rsidRDefault="008A369B" w:rsidP="008A369B">
            <w:pPr>
              <w:spacing w:after="0" w:line="240" w:lineRule="auto"/>
              <w:jc w:val="center"/>
              <w:rPr>
                <w:rFonts w:ascii="Calibri" w:eastAsia="Times New Roman" w:hAnsi="Calibri" w:cs="Calibri"/>
                <w:b/>
                <w:bCs/>
                <w:color w:val="000000"/>
              </w:rPr>
            </w:pPr>
            <w:r w:rsidRPr="008A369B">
              <w:rPr>
                <w:rFonts w:ascii="Calibri" w:eastAsia="Times New Roman" w:hAnsi="Calibri" w:cs="Calibri"/>
                <w:b/>
                <w:bCs/>
                <w:color w:val="000000"/>
              </w:rPr>
              <w:t>79 </w:t>
            </w:r>
          </w:p>
        </w:tc>
      </w:tr>
      <w:tr w:rsidR="008A369B" w:rsidRPr="008A369B" w:rsidTr="008A369B">
        <w:trPr>
          <w:trHeight w:val="288"/>
        </w:trPr>
        <w:tc>
          <w:tcPr>
            <w:tcW w:w="4272" w:type="dxa"/>
            <w:tcBorders>
              <w:top w:val="single" w:sz="8" w:space="0" w:color="E5EBF4"/>
              <w:left w:val="nil"/>
              <w:bottom w:val="nil"/>
              <w:right w:val="single" w:sz="8" w:space="0" w:color="CCCCCC"/>
            </w:tcBorders>
            <w:shd w:val="clear" w:color="000000" w:fill="F5F6FA"/>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Period End Date</w:t>
            </w:r>
          </w:p>
        </w:tc>
        <w:tc>
          <w:tcPr>
            <w:tcW w:w="1200" w:type="dxa"/>
            <w:tcBorders>
              <w:top w:val="single" w:sz="8" w:space="0" w:color="E5EBF4"/>
              <w:left w:val="nil"/>
              <w:bottom w:val="nil"/>
              <w:right w:val="nil"/>
            </w:tcBorders>
            <w:shd w:val="clear" w:color="000000" w:fill="F5F6FA"/>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29-Jan-2016 </w:t>
            </w:r>
          </w:p>
        </w:tc>
        <w:tc>
          <w:tcPr>
            <w:tcW w:w="1220" w:type="dxa"/>
            <w:tcBorders>
              <w:top w:val="single" w:sz="8" w:space="0" w:color="E5EBF4"/>
              <w:left w:val="nil"/>
              <w:bottom w:val="nil"/>
              <w:right w:val="nil"/>
            </w:tcBorders>
            <w:shd w:val="clear" w:color="000000" w:fill="F5F6FA"/>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03-Feb-2017 </w:t>
            </w:r>
          </w:p>
        </w:tc>
        <w:tc>
          <w:tcPr>
            <w:tcW w:w="1220" w:type="dxa"/>
            <w:tcBorders>
              <w:top w:val="single" w:sz="8" w:space="0" w:color="E5EBF4"/>
              <w:left w:val="nil"/>
              <w:bottom w:val="nil"/>
              <w:right w:val="nil"/>
            </w:tcBorders>
            <w:shd w:val="clear" w:color="000000" w:fill="F5F6FA"/>
            <w:noWrap/>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02-Feb-2018 </w:t>
            </w:r>
          </w:p>
        </w:tc>
      </w:tr>
      <w:tr w:rsidR="008A369B" w:rsidRPr="008A369B" w:rsidTr="008A369B">
        <w:trPr>
          <w:trHeight w:val="240"/>
        </w:trPr>
        <w:tc>
          <w:tcPr>
            <w:tcW w:w="4272"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Assets ($ Millions)</w:t>
            </w:r>
          </w:p>
        </w:tc>
        <w:tc>
          <w:tcPr>
            <w:tcW w:w="120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Cash and Short Term Investments</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158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188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267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Cash &amp; Equivalents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158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188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267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Receivables, Net</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108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Receivables - Other</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108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Inventory</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3,074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3,259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3,609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Inventories - Finished Goods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3,074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3,259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3,609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Prepaid Expenses</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193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220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263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Current Assets</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3,432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3,678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4,248 </w:t>
            </w:r>
          </w:p>
        </w:tc>
      </w:tr>
      <w:tr w:rsidR="008A369B" w:rsidRPr="008A369B" w:rsidTr="008A369B">
        <w:trPr>
          <w:trHeight w:val="300"/>
        </w:trPr>
        <w:tc>
          <w:tcPr>
            <w:tcW w:w="4272"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Property/Plant/Equipment, Total - Gross</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4,170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4,595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5,175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Buildings - Gross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1,238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1,452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1,625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Land/Improvements - Gross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255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292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Construction in Progress - Gross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72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Property/Plant/Equipment - Gross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2,527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2,797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3,186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Property/Plant/Equipment, Total - Net</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2,264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2,434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2,701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Accumulated Depreciation, Total</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(1,906)</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(2,161)</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(2,474)</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Goodwill, Net</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4,339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4,339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4,339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Intangibles, Net</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1,201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1,201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1,200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Intangibles - Gross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1,204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1,203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Accumulated Intangible Amortization</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(3)</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(3)</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Long Term Assets, Total</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22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Long Term Assets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22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Assets</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11,258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11,672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12,517 </w:t>
            </w:r>
          </w:p>
        </w:tc>
      </w:tr>
      <w:tr w:rsidR="008A369B" w:rsidRPr="008A369B" w:rsidTr="008A369B">
        <w:trPr>
          <w:trHeight w:val="288"/>
        </w:trPr>
        <w:tc>
          <w:tcPr>
            <w:tcW w:w="4272"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240"/>
        </w:trPr>
        <w:tc>
          <w:tcPr>
            <w:tcW w:w="4272"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Liabilities ($ Millions)</w:t>
            </w:r>
          </w:p>
        </w:tc>
        <w:tc>
          <w:tcPr>
            <w:tcW w:w="120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Accounts Payable</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1,494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1,558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2,010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Accrued Expenses</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330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352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379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Notes Payable/Short Term Debt</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Current Port. of LT Debt/Capital Leases</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501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401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Current liabilities, Total</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170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213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175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Income Taxes Payable</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Current Liabilities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137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149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171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Current Liabilities</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1,996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2,623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2,965 </w:t>
            </w:r>
          </w:p>
        </w:tc>
      </w:tr>
      <w:tr w:rsidR="008A369B" w:rsidRPr="008A369B" w:rsidTr="008A369B">
        <w:trPr>
          <w:trHeight w:val="300"/>
        </w:trPr>
        <w:tc>
          <w:tcPr>
            <w:tcW w:w="4272"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Long Term Debt</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2,969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2,711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2,605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Long Term Debt</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2,966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2,708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2,594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Capital Lease Obligations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lastRenderedPageBreak/>
              <w:t>Total Debt</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2,971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3,212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3,006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Deferred Income Tax</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640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653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516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Deferred Income Tax - LT Liability</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640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653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516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Liabilities, Total</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275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280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306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Long Term Liabilities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275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280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306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Liabilities</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5,880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6,266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6,391 </w:t>
            </w:r>
          </w:p>
        </w:tc>
      </w:tr>
      <w:tr w:rsidR="008A369B" w:rsidRPr="008A369B" w:rsidTr="008A369B">
        <w:trPr>
          <w:trHeight w:val="288"/>
        </w:trPr>
        <w:tc>
          <w:tcPr>
            <w:tcW w:w="4272"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240"/>
        </w:trPr>
        <w:tc>
          <w:tcPr>
            <w:tcW w:w="4272"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proofErr w:type="spellStart"/>
            <w:r w:rsidRPr="008A369B">
              <w:rPr>
                <w:rFonts w:ascii="Calibri" w:eastAsia="Times New Roman" w:hAnsi="Calibri" w:cs="Calibri"/>
                <w:color w:val="000000"/>
                <w:sz w:val="20"/>
                <w:szCs w:val="20"/>
              </w:rPr>
              <w:t>Shareholders</w:t>
            </w:r>
            <w:proofErr w:type="spellEnd"/>
            <w:r w:rsidRPr="008A369B">
              <w:rPr>
                <w:rFonts w:ascii="Calibri" w:eastAsia="Times New Roman" w:hAnsi="Calibri" w:cs="Calibri"/>
                <w:color w:val="000000"/>
                <w:sz w:val="20"/>
                <w:szCs w:val="20"/>
              </w:rPr>
              <w:t xml:space="preserve"> Equity ($ Millions)</w:t>
            </w:r>
          </w:p>
        </w:tc>
        <w:tc>
          <w:tcPr>
            <w:tcW w:w="120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Preferred Stock - Non Redeemable, Net</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Preferred Stock - Non Redeemable</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Common Stock, Total</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251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241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235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Common Stock</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251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241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235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Additional Paid-In Capital</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3,107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3,155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3,196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Retained Earnings (Accumulated Deficit)</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2,026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2,016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2,698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Equity, Total</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(6)</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(5)</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(4)</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Other Comprehensive Income</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(6)</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(5)</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(4)</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Equity</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5,378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5,406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6,126 </w:t>
            </w:r>
          </w:p>
        </w:tc>
      </w:tr>
      <w:tr w:rsidR="008A369B" w:rsidRPr="008A369B" w:rsidTr="008A369B">
        <w:trPr>
          <w:trHeight w:val="300"/>
        </w:trPr>
        <w:tc>
          <w:tcPr>
            <w:tcW w:w="4272"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Liabilities &amp; Shareholders' Equity</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11,258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11,672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12,517 </w:t>
            </w:r>
          </w:p>
        </w:tc>
      </w:tr>
      <w:tr w:rsidR="008A369B" w:rsidRPr="008A369B" w:rsidTr="008A369B">
        <w:trPr>
          <w:trHeight w:val="288"/>
        </w:trPr>
        <w:tc>
          <w:tcPr>
            <w:tcW w:w="4272"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240"/>
        </w:trPr>
        <w:tc>
          <w:tcPr>
            <w:tcW w:w="4272"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Supplemental ($ Millions)</w:t>
            </w:r>
          </w:p>
        </w:tc>
        <w:tc>
          <w:tcPr>
            <w:tcW w:w="120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Common Shares Outstanding</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287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275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269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Shares Outs - Common Stock Primary Issue</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287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275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269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proofErr w:type="spellStart"/>
            <w:r w:rsidRPr="008A369B">
              <w:rPr>
                <w:rFonts w:ascii="Calibri" w:eastAsia="Times New Roman" w:hAnsi="Calibri" w:cs="Calibri"/>
                <w:color w:val="000000"/>
                <w:sz w:val="20"/>
                <w:szCs w:val="20"/>
              </w:rPr>
              <w:t>Treas</w:t>
            </w:r>
            <w:proofErr w:type="spellEnd"/>
            <w:r w:rsidRPr="008A369B">
              <w:rPr>
                <w:rFonts w:ascii="Calibri" w:eastAsia="Times New Roman" w:hAnsi="Calibri" w:cs="Calibri"/>
                <w:color w:val="000000"/>
                <w:sz w:val="20"/>
                <w:szCs w:val="20"/>
              </w:rPr>
              <w:t xml:space="preserve"> Shares - Common Stock </w:t>
            </w:r>
            <w:proofErr w:type="spellStart"/>
            <w:r w:rsidRPr="008A369B">
              <w:rPr>
                <w:rFonts w:ascii="Calibri" w:eastAsia="Times New Roman" w:hAnsi="Calibri" w:cs="Calibri"/>
                <w:color w:val="000000"/>
                <w:sz w:val="20"/>
                <w:szCs w:val="20"/>
              </w:rPr>
              <w:t>Prmry</w:t>
            </w:r>
            <w:proofErr w:type="spellEnd"/>
            <w:r w:rsidRPr="008A369B">
              <w:rPr>
                <w:rFonts w:ascii="Calibri" w:eastAsia="Times New Roman" w:hAnsi="Calibri" w:cs="Calibri"/>
                <w:color w:val="000000"/>
                <w:sz w:val="20"/>
                <w:szCs w:val="20"/>
              </w:rPr>
              <w:t xml:space="preserve"> Issue</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Equity &amp; Minority Interest</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5,378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5,406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6,126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Full-Time Employees</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113,400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121,000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129,000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Number of Common Shareholders</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1,874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2,148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2,383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Intangibles - Net</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1,200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Goodwill - Net</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4,339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4,339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4,339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Accumulated Intangible </w:t>
            </w:r>
            <w:proofErr w:type="spellStart"/>
            <w:r w:rsidRPr="008A369B">
              <w:rPr>
                <w:rFonts w:ascii="Calibri" w:eastAsia="Times New Roman" w:hAnsi="Calibri" w:cs="Calibri"/>
                <w:color w:val="000000"/>
                <w:sz w:val="20"/>
                <w:szCs w:val="20"/>
              </w:rPr>
              <w:t>Amort</w:t>
            </w:r>
            <w:proofErr w:type="spellEnd"/>
            <w:r w:rsidRPr="008A369B">
              <w:rPr>
                <w:rFonts w:ascii="Calibri" w:eastAsia="Times New Roman" w:hAnsi="Calibri" w:cs="Calibri"/>
                <w:color w:val="000000"/>
                <w:sz w:val="20"/>
                <w:szCs w:val="20"/>
              </w:rPr>
              <w:t>, Suppl.</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Deferred Revenue - Long Term</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54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49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45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proofErr w:type="spellStart"/>
            <w:r w:rsidRPr="008A369B">
              <w:rPr>
                <w:rFonts w:ascii="Calibri" w:eastAsia="Times New Roman" w:hAnsi="Calibri" w:cs="Calibri"/>
                <w:color w:val="000000"/>
                <w:sz w:val="20"/>
                <w:szCs w:val="20"/>
              </w:rPr>
              <w:t>Curr</w:t>
            </w:r>
            <w:proofErr w:type="spellEnd"/>
            <w:r w:rsidRPr="008A369B">
              <w:rPr>
                <w:rFonts w:ascii="Calibri" w:eastAsia="Times New Roman" w:hAnsi="Calibri" w:cs="Calibri"/>
                <w:color w:val="000000"/>
                <w:sz w:val="20"/>
                <w:szCs w:val="20"/>
              </w:rPr>
              <w:t xml:space="preserve"> Derivative </w:t>
            </w:r>
            <w:proofErr w:type="spellStart"/>
            <w:r w:rsidRPr="008A369B">
              <w:rPr>
                <w:rFonts w:ascii="Calibri" w:eastAsia="Times New Roman" w:hAnsi="Calibri" w:cs="Calibri"/>
                <w:color w:val="000000"/>
                <w:sz w:val="20"/>
                <w:szCs w:val="20"/>
              </w:rPr>
              <w:t>Liab</w:t>
            </w:r>
            <w:proofErr w:type="spellEnd"/>
            <w:r w:rsidRPr="008A369B">
              <w:rPr>
                <w:rFonts w:ascii="Calibri" w:eastAsia="Times New Roman" w:hAnsi="Calibri" w:cs="Calibri"/>
                <w:color w:val="000000"/>
                <w:sz w:val="20"/>
                <w:szCs w:val="20"/>
              </w:rPr>
              <w:t>. Hedging, Suppl.</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Current Assets less Inventory</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358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419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639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Net Debt Incl. </w:t>
            </w:r>
            <w:proofErr w:type="spellStart"/>
            <w:r w:rsidRPr="008A369B">
              <w:rPr>
                <w:rFonts w:ascii="Calibri" w:eastAsia="Times New Roman" w:hAnsi="Calibri" w:cs="Calibri"/>
                <w:color w:val="000000"/>
                <w:sz w:val="20"/>
                <w:szCs w:val="20"/>
              </w:rPr>
              <w:t>Pref.Stock</w:t>
            </w:r>
            <w:proofErr w:type="spellEnd"/>
            <w:r w:rsidRPr="008A369B">
              <w:rPr>
                <w:rFonts w:ascii="Calibri" w:eastAsia="Times New Roman" w:hAnsi="Calibri" w:cs="Calibri"/>
                <w:color w:val="000000"/>
                <w:sz w:val="20"/>
                <w:szCs w:val="20"/>
              </w:rPr>
              <w:t xml:space="preserve"> &amp; </w:t>
            </w:r>
            <w:proofErr w:type="spellStart"/>
            <w:r w:rsidRPr="008A369B">
              <w:rPr>
                <w:rFonts w:ascii="Calibri" w:eastAsia="Times New Roman" w:hAnsi="Calibri" w:cs="Calibri"/>
                <w:color w:val="000000"/>
                <w:sz w:val="20"/>
                <w:szCs w:val="20"/>
              </w:rPr>
              <w:t>Min.Interest</w:t>
            </w:r>
            <w:proofErr w:type="spellEnd"/>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2,813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3,024 </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2,739 </w:t>
            </w:r>
          </w:p>
        </w:tc>
      </w:tr>
      <w:tr w:rsidR="008A369B" w:rsidRPr="008A369B" w:rsidTr="008A369B">
        <w:trPr>
          <w:trHeight w:val="288"/>
        </w:trPr>
        <w:tc>
          <w:tcPr>
            <w:tcW w:w="4272" w:type="dxa"/>
            <w:tcBorders>
              <w:top w:val="single" w:sz="8" w:space="0" w:color="E5EBF4"/>
              <w:left w:val="nil"/>
              <w:bottom w:val="nil"/>
              <w:right w:val="single" w:sz="8" w:space="0" w:color="CCCCCC"/>
            </w:tcBorders>
            <w:shd w:val="clear" w:color="auto" w:fill="auto"/>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Tangible Book Value, Common Equity</w:t>
            </w:r>
          </w:p>
        </w:tc>
        <w:tc>
          <w:tcPr>
            <w:tcW w:w="120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(162)</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FF0000"/>
                <w:sz w:val="20"/>
                <w:szCs w:val="20"/>
              </w:rPr>
              <w:t>(133)</w:t>
            </w:r>
          </w:p>
        </w:tc>
        <w:tc>
          <w:tcPr>
            <w:tcW w:w="1220" w:type="dxa"/>
            <w:tcBorders>
              <w:top w:val="single" w:sz="8" w:space="0" w:color="E5EBF4"/>
              <w:left w:val="nil"/>
              <w:bottom w:val="nil"/>
              <w:right w:val="nil"/>
            </w:tcBorders>
            <w:shd w:val="clear" w:color="auto" w:fill="auto"/>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587 </w:t>
            </w:r>
          </w:p>
        </w:tc>
      </w:tr>
      <w:tr w:rsidR="008A369B" w:rsidRPr="008A369B" w:rsidTr="008A369B">
        <w:trPr>
          <w:trHeight w:val="240"/>
        </w:trPr>
        <w:tc>
          <w:tcPr>
            <w:tcW w:w="4272"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Debt &amp; Lease, Pension Items ($ Millions)</w:t>
            </w:r>
          </w:p>
        </w:tc>
        <w:tc>
          <w:tcPr>
            <w:tcW w:w="120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c>
          <w:tcPr>
            <w:tcW w:w="1220" w:type="dxa"/>
            <w:tcBorders>
              <w:top w:val="nil"/>
              <w:left w:val="nil"/>
              <w:bottom w:val="nil"/>
              <w:right w:val="nil"/>
            </w:tcBorders>
            <w:shd w:val="clear" w:color="000000" w:fill="C8D7DE"/>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Long Term Debt, Supplemental</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2,987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3,224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3,013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Long Term Debt Maturing within 1 Year</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991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830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Long Term Debt Maturing in Year 2</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450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88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Long Term Debt Maturing in Year 3</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450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88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Long Term Debt Maturing in Year 4</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339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Long Term Debt Maturing in Year 5</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339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213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Long Term Debt Maturing in 2-3 Years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901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401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176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Long Term Debt Maturing in 4-5 Years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677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426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lastRenderedPageBreak/>
              <w:t xml:space="preserve">Long Term Debt </w:t>
            </w:r>
            <w:proofErr w:type="spellStart"/>
            <w:r w:rsidRPr="008A369B">
              <w:rPr>
                <w:rFonts w:ascii="Calibri" w:eastAsia="Times New Roman" w:hAnsi="Calibri" w:cs="Calibri"/>
                <w:color w:val="000000"/>
                <w:sz w:val="20"/>
                <w:szCs w:val="20"/>
              </w:rPr>
              <w:t>Matur</w:t>
            </w:r>
            <w:proofErr w:type="spellEnd"/>
            <w:r w:rsidRPr="008A369B">
              <w:rPr>
                <w:rFonts w:ascii="Calibri" w:eastAsia="Times New Roman" w:hAnsi="Calibri" w:cs="Calibri"/>
                <w:color w:val="000000"/>
                <w:sz w:val="20"/>
                <w:szCs w:val="20"/>
              </w:rPr>
              <w:t>. in Year 6 &amp; Beyond</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1,409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1,407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2,005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Capital Leases, Supplemental</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5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12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Capital Lease Payments Due in Year 1</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Capital Lease Payments Due in Year 2</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Capital Lease Payments Due in Year 3</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Capital Lease Payments Due in Year 4</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Capital Lease Payments Due in Year 5</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0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Capital Lease Payments Due in 2-3 Years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Capital Lease Payments Due in 4-5 Years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Cap. Lease </w:t>
            </w:r>
            <w:proofErr w:type="spellStart"/>
            <w:r w:rsidRPr="008A369B">
              <w:rPr>
                <w:rFonts w:ascii="Calibri" w:eastAsia="Times New Roman" w:hAnsi="Calibri" w:cs="Calibri"/>
                <w:color w:val="000000"/>
                <w:sz w:val="20"/>
                <w:szCs w:val="20"/>
              </w:rPr>
              <w:t>Pymts</w:t>
            </w:r>
            <w:proofErr w:type="spellEnd"/>
            <w:r w:rsidRPr="008A369B">
              <w:rPr>
                <w:rFonts w:ascii="Calibri" w:eastAsia="Times New Roman" w:hAnsi="Calibri" w:cs="Calibri"/>
                <w:color w:val="000000"/>
                <w:sz w:val="20"/>
                <w:szCs w:val="20"/>
              </w:rPr>
              <w:t>. Due in Year 6 &amp; Beyond</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8A369B" w:rsidRPr="008A369B" w:rsidRDefault="008A369B" w:rsidP="008A369B">
            <w:pPr>
              <w:spacing w:after="0" w:line="240" w:lineRule="auto"/>
              <w:rPr>
                <w:rFonts w:ascii="Calibri" w:eastAsia="Times New Roman" w:hAnsi="Calibri" w:cs="Calibri"/>
                <w:color w:val="000000"/>
                <w:sz w:val="20"/>
                <w:szCs w:val="20"/>
              </w:rPr>
            </w:pPr>
            <w:r w:rsidRPr="008A369B">
              <w:rPr>
                <w:rFonts w:ascii="Calibri" w:eastAsia="Times New Roman" w:hAnsi="Calibri" w:cs="Calibri"/>
                <w:color w:val="000000"/>
                <w:sz w:val="20"/>
                <w:szCs w:val="20"/>
              </w:rPr>
              <w:t>Total Operating Leases, Supplemental</w:t>
            </w:r>
          </w:p>
        </w:tc>
        <w:tc>
          <w:tcPr>
            <w:tcW w:w="120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7,229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8,124 </w:t>
            </w:r>
          </w:p>
        </w:tc>
        <w:tc>
          <w:tcPr>
            <w:tcW w:w="1220" w:type="dxa"/>
            <w:tcBorders>
              <w:top w:val="single" w:sz="8" w:space="0" w:color="E5EBF4"/>
              <w:left w:val="nil"/>
              <w:bottom w:val="nil"/>
              <w:right w:val="nil"/>
            </w:tcBorders>
            <w:shd w:val="clear" w:color="000000" w:fill="E9EFF6"/>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9,108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Operating Lease Payments Due in Year 1</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866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962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1,089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Operating Lease Payments Due in Year 2</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831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924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1,042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Operating Lease Payments Due in Year 3</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784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871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970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Operating Lease Payments Due in Year 4</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721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792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898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Operating Lease Payments Due in Year 5</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633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718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826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Operating Lease </w:t>
            </w:r>
            <w:proofErr w:type="spellStart"/>
            <w:r w:rsidRPr="008A369B">
              <w:rPr>
                <w:rFonts w:ascii="Calibri" w:eastAsia="Times New Roman" w:hAnsi="Calibri" w:cs="Calibri"/>
                <w:color w:val="000000"/>
                <w:sz w:val="20"/>
                <w:szCs w:val="20"/>
              </w:rPr>
              <w:t>Pymts</w:t>
            </w:r>
            <w:proofErr w:type="spellEnd"/>
            <w:r w:rsidRPr="008A369B">
              <w:rPr>
                <w:rFonts w:ascii="Calibri" w:eastAsia="Times New Roman" w:hAnsi="Calibri" w:cs="Calibri"/>
                <w:color w:val="000000"/>
                <w:sz w:val="20"/>
                <w:szCs w:val="20"/>
              </w:rPr>
              <w:t>. Due in 2-3 Years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1,615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1,795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2,012 </w:t>
            </w:r>
          </w:p>
        </w:tc>
      </w:tr>
      <w:tr w:rsidR="008A369B" w:rsidRPr="008A369B" w:rsidTr="008A369B">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Operating Lease </w:t>
            </w:r>
            <w:proofErr w:type="spellStart"/>
            <w:r w:rsidRPr="008A369B">
              <w:rPr>
                <w:rFonts w:ascii="Calibri" w:eastAsia="Times New Roman" w:hAnsi="Calibri" w:cs="Calibri"/>
                <w:color w:val="000000"/>
                <w:sz w:val="20"/>
                <w:szCs w:val="20"/>
              </w:rPr>
              <w:t>Pymts</w:t>
            </w:r>
            <w:proofErr w:type="spellEnd"/>
            <w:r w:rsidRPr="008A369B">
              <w:rPr>
                <w:rFonts w:ascii="Calibri" w:eastAsia="Times New Roman" w:hAnsi="Calibri" w:cs="Calibri"/>
                <w:color w:val="000000"/>
                <w:sz w:val="20"/>
                <w:szCs w:val="20"/>
              </w:rPr>
              <w:t>. Due in 4-5 Years</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1,354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1,511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1,724 </w:t>
            </w:r>
          </w:p>
        </w:tc>
      </w:tr>
      <w:tr w:rsidR="008A369B" w:rsidRPr="008A369B" w:rsidTr="008A369B">
        <w:trPr>
          <w:trHeight w:val="288"/>
        </w:trPr>
        <w:tc>
          <w:tcPr>
            <w:tcW w:w="4272" w:type="dxa"/>
            <w:tcBorders>
              <w:top w:val="single" w:sz="8" w:space="0" w:color="E5EBF4"/>
              <w:left w:val="nil"/>
              <w:bottom w:val="nil"/>
              <w:right w:val="single" w:sz="8" w:space="0" w:color="CCCCCC"/>
            </w:tcBorders>
            <w:shd w:val="clear" w:color="000000" w:fill="F2F4F9"/>
            <w:noWrap/>
            <w:vAlign w:val="bottom"/>
            <w:hideMark/>
          </w:tcPr>
          <w:p w:rsidR="008A369B" w:rsidRPr="008A369B" w:rsidRDefault="008A369B" w:rsidP="008A369B">
            <w:pPr>
              <w:spacing w:after="0" w:line="240" w:lineRule="auto"/>
              <w:ind w:firstLineChars="200" w:firstLine="400"/>
              <w:rPr>
                <w:rFonts w:ascii="Calibri" w:eastAsia="Times New Roman" w:hAnsi="Calibri" w:cs="Calibri"/>
                <w:color w:val="000000"/>
                <w:sz w:val="20"/>
                <w:szCs w:val="20"/>
              </w:rPr>
            </w:pPr>
            <w:proofErr w:type="spellStart"/>
            <w:r w:rsidRPr="008A369B">
              <w:rPr>
                <w:rFonts w:ascii="Calibri" w:eastAsia="Times New Roman" w:hAnsi="Calibri" w:cs="Calibri"/>
                <w:color w:val="000000"/>
                <w:sz w:val="20"/>
                <w:szCs w:val="20"/>
              </w:rPr>
              <w:t>Oper</w:t>
            </w:r>
            <w:proofErr w:type="spellEnd"/>
            <w:r w:rsidRPr="008A369B">
              <w:rPr>
                <w:rFonts w:ascii="Calibri" w:eastAsia="Times New Roman" w:hAnsi="Calibri" w:cs="Calibri"/>
                <w:color w:val="000000"/>
                <w:sz w:val="20"/>
                <w:szCs w:val="20"/>
              </w:rPr>
              <w:t xml:space="preserve">. </w:t>
            </w:r>
            <w:proofErr w:type="spellStart"/>
            <w:r w:rsidRPr="008A369B">
              <w:rPr>
                <w:rFonts w:ascii="Calibri" w:eastAsia="Times New Roman" w:hAnsi="Calibri" w:cs="Calibri"/>
                <w:color w:val="000000"/>
                <w:sz w:val="20"/>
                <w:szCs w:val="20"/>
              </w:rPr>
              <w:t>Lse</w:t>
            </w:r>
            <w:proofErr w:type="spellEnd"/>
            <w:r w:rsidRPr="008A369B">
              <w:rPr>
                <w:rFonts w:ascii="Calibri" w:eastAsia="Times New Roman" w:hAnsi="Calibri" w:cs="Calibri"/>
                <w:color w:val="000000"/>
                <w:sz w:val="20"/>
                <w:szCs w:val="20"/>
              </w:rPr>
              <w:t xml:space="preserve">. </w:t>
            </w:r>
            <w:proofErr w:type="spellStart"/>
            <w:r w:rsidRPr="008A369B">
              <w:rPr>
                <w:rFonts w:ascii="Calibri" w:eastAsia="Times New Roman" w:hAnsi="Calibri" w:cs="Calibri"/>
                <w:color w:val="000000"/>
                <w:sz w:val="20"/>
                <w:szCs w:val="20"/>
              </w:rPr>
              <w:t>Pymts</w:t>
            </w:r>
            <w:proofErr w:type="spellEnd"/>
            <w:r w:rsidRPr="008A369B">
              <w:rPr>
                <w:rFonts w:ascii="Calibri" w:eastAsia="Times New Roman" w:hAnsi="Calibri" w:cs="Calibri"/>
                <w:color w:val="000000"/>
                <w:sz w:val="20"/>
                <w:szCs w:val="20"/>
              </w:rPr>
              <w:t>. Due in Year 6 &amp; Beyond</w:t>
            </w:r>
          </w:p>
        </w:tc>
        <w:tc>
          <w:tcPr>
            <w:tcW w:w="120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3,394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3,856 </w:t>
            </w:r>
          </w:p>
        </w:tc>
        <w:tc>
          <w:tcPr>
            <w:tcW w:w="1220" w:type="dxa"/>
            <w:tcBorders>
              <w:top w:val="single" w:sz="8" w:space="0" w:color="E5EBF4"/>
              <w:left w:val="nil"/>
              <w:bottom w:val="nil"/>
              <w:right w:val="nil"/>
            </w:tcBorders>
            <w:shd w:val="clear" w:color="000000" w:fill="F5F6FA"/>
            <w:vAlign w:val="bottom"/>
            <w:hideMark/>
          </w:tcPr>
          <w:p w:rsidR="008A369B" w:rsidRPr="008A369B" w:rsidRDefault="008A369B" w:rsidP="008A369B">
            <w:pPr>
              <w:spacing w:after="0" w:line="240" w:lineRule="auto"/>
              <w:jc w:val="right"/>
              <w:rPr>
                <w:rFonts w:ascii="Calibri" w:eastAsia="Times New Roman" w:hAnsi="Calibri" w:cs="Calibri"/>
                <w:color w:val="000000"/>
                <w:sz w:val="20"/>
                <w:szCs w:val="20"/>
              </w:rPr>
            </w:pPr>
            <w:r w:rsidRPr="008A369B">
              <w:rPr>
                <w:rFonts w:ascii="Calibri" w:eastAsia="Times New Roman" w:hAnsi="Calibri" w:cs="Calibri"/>
                <w:color w:val="000000"/>
                <w:sz w:val="20"/>
                <w:szCs w:val="20"/>
              </w:rPr>
              <w:t xml:space="preserve">4,284 </w:t>
            </w:r>
          </w:p>
        </w:tc>
      </w:tr>
    </w:tbl>
    <w:p w:rsidR="008A369B" w:rsidRDefault="008A369B"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r>
        <w:rPr>
          <w:rFonts w:asciiTheme="majorBidi" w:hAnsiTheme="majorBidi" w:cstheme="majorBidi"/>
          <w:b/>
          <w:bCs/>
          <w:sz w:val="24"/>
          <w:szCs w:val="24"/>
        </w:rPr>
        <w:lastRenderedPageBreak/>
        <w:t>Appendix E: Financial Statement of Target – circa 2016, 2017, 2018 – via “</w:t>
      </w:r>
      <w:proofErr w:type="spellStart"/>
      <w:r>
        <w:rPr>
          <w:rFonts w:asciiTheme="majorBidi" w:hAnsiTheme="majorBidi" w:cstheme="majorBidi"/>
          <w:b/>
          <w:bCs/>
          <w:sz w:val="24"/>
          <w:szCs w:val="24"/>
        </w:rPr>
        <w:t>Eikon</w:t>
      </w:r>
      <w:proofErr w:type="spellEnd"/>
      <w:r>
        <w:rPr>
          <w:rFonts w:asciiTheme="majorBidi" w:hAnsiTheme="majorBidi" w:cstheme="majorBidi"/>
          <w:b/>
          <w:bCs/>
          <w:sz w:val="24"/>
          <w:szCs w:val="24"/>
        </w:rPr>
        <w:t>”</w:t>
      </w:r>
    </w:p>
    <w:tbl>
      <w:tblPr>
        <w:tblW w:w="7940" w:type="dxa"/>
        <w:tblLook w:val="04A0" w:firstRow="1" w:lastRow="0" w:firstColumn="1" w:lastColumn="0" w:noHBand="0" w:noVBand="1"/>
      </w:tblPr>
      <w:tblGrid>
        <w:gridCol w:w="1064"/>
        <w:gridCol w:w="3061"/>
        <w:gridCol w:w="1306"/>
        <w:gridCol w:w="1249"/>
        <w:gridCol w:w="1260"/>
      </w:tblGrid>
      <w:tr w:rsidR="00AF3316" w:rsidRPr="00AF3316" w:rsidTr="00AF3316">
        <w:trPr>
          <w:trHeight w:val="420"/>
        </w:trPr>
        <w:tc>
          <w:tcPr>
            <w:tcW w:w="7940" w:type="dxa"/>
            <w:gridSpan w:val="5"/>
            <w:tcBorders>
              <w:top w:val="nil"/>
              <w:left w:val="nil"/>
              <w:bottom w:val="nil"/>
              <w:right w:val="nil"/>
            </w:tcBorders>
            <w:shd w:val="clear" w:color="auto" w:fill="auto"/>
            <w:vAlign w:val="bottom"/>
            <w:hideMark/>
          </w:tcPr>
          <w:p w:rsidR="00AF3316" w:rsidRPr="00AF3316" w:rsidRDefault="00AF3316" w:rsidP="00AF3316">
            <w:pPr>
              <w:spacing w:after="0" w:line="240" w:lineRule="auto"/>
              <w:rPr>
                <w:rFonts w:ascii="Tahoma" w:eastAsia="Times New Roman" w:hAnsi="Tahoma" w:cs="Tahoma"/>
                <w:b/>
                <w:bCs/>
                <w:color w:val="000000"/>
                <w:sz w:val="16"/>
                <w:szCs w:val="16"/>
              </w:rPr>
            </w:pPr>
            <w:r w:rsidRPr="00AF3316">
              <w:rPr>
                <w:rFonts w:ascii="Tahoma" w:eastAsia="Times New Roman" w:hAnsi="Tahoma" w:cs="Tahoma"/>
                <w:b/>
                <w:bCs/>
                <w:color w:val="000000"/>
                <w:sz w:val="16"/>
                <w:szCs w:val="16"/>
              </w:rPr>
              <w:t xml:space="preserve">Target Corp | Income Statement | Thomson Reuters </w:t>
            </w:r>
            <w:proofErr w:type="spellStart"/>
            <w:r w:rsidRPr="00AF3316">
              <w:rPr>
                <w:rFonts w:ascii="Tahoma" w:eastAsia="Times New Roman" w:hAnsi="Tahoma" w:cs="Tahoma"/>
                <w:b/>
                <w:bCs/>
                <w:color w:val="000000"/>
                <w:sz w:val="16"/>
                <w:szCs w:val="16"/>
              </w:rPr>
              <w:t>Eikon</w:t>
            </w:r>
            <w:proofErr w:type="spellEnd"/>
            <w:r w:rsidRPr="00AF3316">
              <w:rPr>
                <w:rFonts w:ascii="Tahoma" w:eastAsia="Times New Roman" w:hAnsi="Tahoma" w:cs="Tahoma"/>
                <w:b/>
                <w:bCs/>
                <w:color w:val="000000"/>
                <w:sz w:val="16"/>
                <w:szCs w:val="16"/>
              </w:rPr>
              <w:t xml:space="preserve">                                07-Nov-2018 14:45</w:t>
            </w:r>
          </w:p>
        </w:tc>
      </w:tr>
      <w:tr w:rsidR="00AF3316" w:rsidRPr="00AF3316" w:rsidTr="00AF3316">
        <w:trPr>
          <w:trHeight w:val="288"/>
        </w:trPr>
        <w:tc>
          <w:tcPr>
            <w:tcW w:w="1064"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ahoma" w:eastAsia="Times New Roman" w:hAnsi="Tahoma" w:cs="Tahoma"/>
                <w:b/>
                <w:bCs/>
                <w:color w:val="000000"/>
                <w:sz w:val="16"/>
                <w:szCs w:val="16"/>
              </w:rPr>
            </w:pPr>
          </w:p>
        </w:tc>
        <w:tc>
          <w:tcPr>
            <w:tcW w:w="3061"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288"/>
        </w:trPr>
        <w:tc>
          <w:tcPr>
            <w:tcW w:w="4125" w:type="dxa"/>
            <w:gridSpan w:val="2"/>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Income Statement</w:t>
            </w:r>
          </w:p>
        </w:tc>
        <w:tc>
          <w:tcPr>
            <w:tcW w:w="130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5431" w:type="dxa"/>
            <w:gridSpan w:val="3"/>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Annual </w:t>
            </w:r>
            <w:proofErr w:type="spellStart"/>
            <w:r w:rsidRPr="00AF3316">
              <w:rPr>
                <w:rFonts w:ascii="Calibri" w:eastAsia="Times New Roman" w:hAnsi="Calibri" w:cs="Calibri"/>
                <w:color w:val="000000"/>
                <w:sz w:val="20"/>
                <w:szCs w:val="20"/>
              </w:rPr>
              <w:t>Standardised</w:t>
            </w:r>
            <w:proofErr w:type="spellEnd"/>
            <w:r w:rsidRPr="00AF3316">
              <w:rPr>
                <w:rFonts w:ascii="Calibri" w:eastAsia="Times New Roman" w:hAnsi="Calibri" w:cs="Calibri"/>
                <w:color w:val="000000"/>
                <w:sz w:val="20"/>
                <w:szCs w:val="20"/>
              </w:rPr>
              <w:t xml:space="preserve"> in Millions of U.S. Dollars</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4125" w:type="dxa"/>
            <w:gridSpan w:val="2"/>
            <w:tcBorders>
              <w:top w:val="single" w:sz="8" w:space="0" w:color="FFFFFF"/>
              <w:left w:val="single" w:sz="8" w:space="0" w:color="FFFFFF"/>
              <w:bottom w:val="single" w:sz="8" w:space="0" w:color="C1C1C1"/>
              <w:right w:val="single" w:sz="8" w:space="0" w:color="FFFFFF"/>
            </w:tcBorders>
            <w:shd w:val="clear" w:color="000000" w:fill="ABC4EA"/>
            <w:noWrap/>
            <w:vAlign w:val="bottom"/>
            <w:hideMark/>
          </w:tcPr>
          <w:p w:rsidR="00AF3316" w:rsidRPr="00AF3316" w:rsidRDefault="00AF3316" w:rsidP="00AF3316">
            <w:pPr>
              <w:spacing w:after="0" w:line="240" w:lineRule="auto"/>
              <w:rPr>
                <w:rFonts w:ascii="Calibri" w:eastAsia="Times New Roman" w:hAnsi="Calibri" w:cs="Calibri"/>
                <w:b/>
                <w:bCs/>
                <w:color w:val="000000"/>
                <w:sz w:val="20"/>
                <w:szCs w:val="20"/>
              </w:rPr>
            </w:pPr>
            <w:r w:rsidRPr="00AF3316">
              <w:rPr>
                <w:rFonts w:ascii="Calibri" w:eastAsia="Times New Roman" w:hAnsi="Calibri" w:cs="Calibri"/>
                <w:b/>
                <w:bCs/>
                <w:color w:val="000000"/>
                <w:sz w:val="20"/>
                <w:szCs w:val="20"/>
              </w:rPr>
              <w:t> </w:t>
            </w:r>
          </w:p>
        </w:tc>
        <w:tc>
          <w:tcPr>
            <w:tcW w:w="1306" w:type="dxa"/>
            <w:tcBorders>
              <w:top w:val="single" w:sz="8" w:space="0" w:color="FFFFFF"/>
              <w:left w:val="nil"/>
              <w:bottom w:val="single" w:sz="8" w:space="0" w:color="FFFFFF"/>
              <w:right w:val="single" w:sz="8" w:space="0" w:color="FFFFFF"/>
            </w:tcBorders>
            <w:shd w:val="clear" w:color="000000" w:fill="ABC4EA"/>
            <w:noWrap/>
            <w:vAlign w:val="bottom"/>
            <w:hideMark/>
          </w:tcPr>
          <w:p w:rsidR="00AF3316" w:rsidRPr="00AF3316" w:rsidRDefault="00AF3316" w:rsidP="00AF3316">
            <w:pPr>
              <w:spacing w:after="0" w:line="240" w:lineRule="auto"/>
              <w:jc w:val="right"/>
              <w:rPr>
                <w:rFonts w:ascii="Calibri" w:eastAsia="Times New Roman" w:hAnsi="Calibri" w:cs="Calibri"/>
                <w:b/>
                <w:bCs/>
                <w:color w:val="000000"/>
                <w:sz w:val="20"/>
                <w:szCs w:val="20"/>
              </w:rPr>
            </w:pPr>
            <w:r w:rsidRPr="00AF3316">
              <w:rPr>
                <w:rFonts w:ascii="Calibri" w:eastAsia="Times New Roman" w:hAnsi="Calibri" w:cs="Calibri"/>
                <w:b/>
                <w:bCs/>
                <w:color w:val="000000"/>
                <w:sz w:val="20"/>
                <w:szCs w:val="20"/>
              </w:rPr>
              <w:t>2016</w:t>
            </w:r>
          </w:p>
        </w:tc>
        <w:tc>
          <w:tcPr>
            <w:tcW w:w="1249" w:type="dxa"/>
            <w:tcBorders>
              <w:top w:val="single" w:sz="8" w:space="0" w:color="FFFFFF"/>
              <w:left w:val="nil"/>
              <w:bottom w:val="single" w:sz="8" w:space="0" w:color="FFFFFF"/>
              <w:right w:val="single" w:sz="8" w:space="0" w:color="FFFFFF"/>
            </w:tcBorders>
            <w:shd w:val="clear" w:color="000000" w:fill="ABC4EA"/>
            <w:noWrap/>
            <w:vAlign w:val="bottom"/>
            <w:hideMark/>
          </w:tcPr>
          <w:p w:rsidR="00AF3316" w:rsidRPr="00AF3316" w:rsidRDefault="00AF3316" w:rsidP="00AF3316">
            <w:pPr>
              <w:spacing w:after="0" w:line="240" w:lineRule="auto"/>
              <w:jc w:val="right"/>
              <w:rPr>
                <w:rFonts w:ascii="Calibri" w:eastAsia="Times New Roman" w:hAnsi="Calibri" w:cs="Calibri"/>
                <w:b/>
                <w:bCs/>
                <w:color w:val="000000"/>
                <w:sz w:val="20"/>
                <w:szCs w:val="20"/>
              </w:rPr>
            </w:pPr>
            <w:r w:rsidRPr="00AF3316">
              <w:rPr>
                <w:rFonts w:ascii="Calibri" w:eastAsia="Times New Roman" w:hAnsi="Calibri" w:cs="Calibri"/>
                <w:b/>
                <w:bCs/>
                <w:color w:val="000000"/>
                <w:sz w:val="20"/>
                <w:szCs w:val="20"/>
              </w:rPr>
              <w:t>2017</w:t>
            </w:r>
          </w:p>
        </w:tc>
        <w:tc>
          <w:tcPr>
            <w:tcW w:w="1260" w:type="dxa"/>
            <w:tcBorders>
              <w:top w:val="single" w:sz="8" w:space="0" w:color="FFFFFF"/>
              <w:left w:val="nil"/>
              <w:bottom w:val="single" w:sz="8" w:space="0" w:color="FFFFFF"/>
              <w:right w:val="single" w:sz="8" w:space="0" w:color="FFFFFF"/>
            </w:tcBorders>
            <w:shd w:val="clear" w:color="000000" w:fill="ABC4EA"/>
            <w:noWrap/>
            <w:vAlign w:val="bottom"/>
            <w:hideMark/>
          </w:tcPr>
          <w:p w:rsidR="00AF3316" w:rsidRPr="00AF3316" w:rsidRDefault="00AF3316" w:rsidP="00AF3316">
            <w:pPr>
              <w:spacing w:after="0" w:line="240" w:lineRule="auto"/>
              <w:jc w:val="right"/>
              <w:rPr>
                <w:rFonts w:ascii="Calibri" w:eastAsia="Times New Roman" w:hAnsi="Calibri" w:cs="Calibri"/>
                <w:b/>
                <w:bCs/>
                <w:color w:val="000000"/>
                <w:sz w:val="20"/>
                <w:szCs w:val="20"/>
              </w:rPr>
            </w:pPr>
            <w:r w:rsidRPr="00AF3316">
              <w:rPr>
                <w:rFonts w:ascii="Calibri" w:eastAsia="Times New Roman" w:hAnsi="Calibri" w:cs="Calibri"/>
                <w:b/>
                <w:bCs/>
                <w:color w:val="000000"/>
                <w:sz w:val="20"/>
                <w:szCs w:val="20"/>
              </w:rPr>
              <w:t>2018</w:t>
            </w:r>
          </w:p>
        </w:tc>
      </w:tr>
      <w:tr w:rsidR="00AF3316" w:rsidRPr="00AF3316" w:rsidTr="00AF3316">
        <w:trPr>
          <w:trHeight w:val="285"/>
        </w:trPr>
        <w:tc>
          <w:tcPr>
            <w:tcW w:w="4125" w:type="dxa"/>
            <w:gridSpan w:val="2"/>
            <w:tcBorders>
              <w:top w:val="single" w:sz="8" w:space="0" w:color="C1C1C1"/>
              <w:left w:val="nil"/>
              <w:bottom w:val="single" w:sz="8" w:space="0" w:color="C1C1C1"/>
              <w:right w:val="single" w:sz="8" w:space="0" w:color="CCCCCC"/>
            </w:tcBorders>
            <w:shd w:val="clear" w:color="000000" w:fill="F5F6FA"/>
            <w:noWrap/>
            <w:vAlign w:val="bottom"/>
            <w:hideMark/>
          </w:tcPr>
          <w:p w:rsidR="00AF3316" w:rsidRPr="00AF3316" w:rsidRDefault="00AF3316" w:rsidP="00AF3316">
            <w:pPr>
              <w:spacing w:after="0" w:line="240" w:lineRule="auto"/>
              <w:rPr>
                <w:rFonts w:ascii="Calibri" w:eastAsia="Times New Roman" w:hAnsi="Calibri" w:cs="Calibri"/>
                <w:b/>
                <w:bCs/>
                <w:color w:val="000000"/>
              </w:rPr>
            </w:pPr>
            <w:r w:rsidRPr="00AF3316">
              <w:rPr>
                <w:rFonts w:ascii="Calibri" w:eastAsia="Times New Roman" w:hAnsi="Calibri" w:cs="Calibri"/>
                <w:b/>
                <w:bCs/>
                <w:color w:val="000000"/>
              </w:rPr>
              <w:t>Earnings Quality Score</w:t>
            </w:r>
          </w:p>
        </w:tc>
        <w:tc>
          <w:tcPr>
            <w:tcW w:w="1306" w:type="dxa"/>
            <w:tcBorders>
              <w:top w:val="single" w:sz="8" w:space="0" w:color="C1C1C1"/>
              <w:left w:val="nil"/>
              <w:bottom w:val="single" w:sz="8" w:space="0" w:color="C1C1C1"/>
              <w:right w:val="nil"/>
            </w:tcBorders>
            <w:shd w:val="clear" w:color="000000" w:fill="309724"/>
            <w:noWrap/>
            <w:hideMark/>
          </w:tcPr>
          <w:p w:rsidR="00AF3316" w:rsidRPr="00AF3316" w:rsidRDefault="00AF3316" w:rsidP="00AF3316">
            <w:pPr>
              <w:spacing w:after="0" w:line="240" w:lineRule="auto"/>
              <w:jc w:val="center"/>
              <w:rPr>
                <w:rFonts w:ascii="Calibri" w:eastAsia="Times New Roman" w:hAnsi="Calibri" w:cs="Calibri"/>
                <w:b/>
                <w:bCs/>
                <w:color w:val="FFFFFF"/>
              </w:rPr>
            </w:pPr>
            <w:r w:rsidRPr="00AF3316">
              <w:rPr>
                <w:rFonts w:ascii="Calibri" w:eastAsia="Times New Roman" w:hAnsi="Calibri" w:cs="Calibri"/>
                <w:b/>
                <w:bCs/>
                <w:color w:val="FFFFFF"/>
              </w:rPr>
              <w:t>98 </w:t>
            </w:r>
          </w:p>
        </w:tc>
        <w:tc>
          <w:tcPr>
            <w:tcW w:w="1249" w:type="dxa"/>
            <w:tcBorders>
              <w:top w:val="single" w:sz="8" w:space="0" w:color="C1C1C1"/>
              <w:left w:val="nil"/>
              <w:bottom w:val="single" w:sz="8" w:space="0" w:color="C1C1C1"/>
              <w:right w:val="nil"/>
            </w:tcBorders>
            <w:shd w:val="clear" w:color="000000" w:fill="E0E0E0"/>
            <w:noWrap/>
            <w:hideMark/>
          </w:tcPr>
          <w:p w:rsidR="00AF3316" w:rsidRPr="00AF3316" w:rsidRDefault="00AF3316" w:rsidP="00AF3316">
            <w:pPr>
              <w:spacing w:after="0" w:line="240" w:lineRule="auto"/>
              <w:jc w:val="center"/>
              <w:rPr>
                <w:rFonts w:ascii="Calibri" w:eastAsia="Times New Roman" w:hAnsi="Calibri" w:cs="Calibri"/>
                <w:b/>
                <w:bCs/>
                <w:color w:val="333333"/>
              </w:rPr>
            </w:pPr>
            <w:r w:rsidRPr="00AF3316">
              <w:rPr>
                <w:rFonts w:ascii="Calibri" w:eastAsia="Times New Roman" w:hAnsi="Calibri" w:cs="Calibri"/>
                <w:b/>
                <w:bCs/>
                <w:color w:val="333333"/>
              </w:rPr>
              <w:t>65 </w:t>
            </w:r>
          </w:p>
        </w:tc>
        <w:tc>
          <w:tcPr>
            <w:tcW w:w="1260" w:type="dxa"/>
            <w:tcBorders>
              <w:top w:val="single" w:sz="8" w:space="0" w:color="C1C1C1"/>
              <w:left w:val="nil"/>
              <w:bottom w:val="single" w:sz="8" w:space="0" w:color="C1C1C1"/>
              <w:right w:val="nil"/>
            </w:tcBorders>
            <w:shd w:val="clear" w:color="000000" w:fill="309724"/>
            <w:noWrap/>
            <w:hideMark/>
          </w:tcPr>
          <w:p w:rsidR="00AF3316" w:rsidRPr="00AF3316" w:rsidRDefault="00AF3316" w:rsidP="00AF3316">
            <w:pPr>
              <w:spacing w:after="0" w:line="240" w:lineRule="auto"/>
              <w:jc w:val="center"/>
              <w:rPr>
                <w:rFonts w:ascii="Calibri" w:eastAsia="Times New Roman" w:hAnsi="Calibri" w:cs="Calibri"/>
                <w:b/>
                <w:bCs/>
                <w:color w:val="FFFFFF"/>
              </w:rPr>
            </w:pPr>
            <w:r w:rsidRPr="00AF3316">
              <w:rPr>
                <w:rFonts w:ascii="Calibri" w:eastAsia="Times New Roman" w:hAnsi="Calibri" w:cs="Calibri"/>
                <w:b/>
                <w:bCs/>
                <w:color w:val="FFFFFF"/>
              </w:rPr>
              <w:t>91 </w:t>
            </w:r>
          </w:p>
        </w:tc>
      </w:tr>
      <w:tr w:rsidR="00AF3316" w:rsidRPr="00AF3316" w:rsidTr="00AF3316">
        <w:trPr>
          <w:trHeight w:val="300"/>
        </w:trPr>
        <w:tc>
          <w:tcPr>
            <w:tcW w:w="4125" w:type="dxa"/>
            <w:gridSpan w:val="2"/>
            <w:tcBorders>
              <w:top w:val="single" w:sz="8" w:space="0" w:color="C1C1C1"/>
              <w:left w:val="nil"/>
              <w:bottom w:val="single" w:sz="8" w:space="0" w:color="E5EBF4"/>
              <w:right w:val="single" w:sz="8" w:space="0" w:color="CCCCCC"/>
            </w:tcBorders>
            <w:shd w:val="clear" w:color="000000" w:fill="F5F6FA"/>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Period End Date</w:t>
            </w:r>
          </w:p>
        </w:tc>
        <w:tc>
          <w:tcPr>
            <w:tcW w:w="1306" w:type="dxa"/>
            <w:tcBorders>
              <w:top w:val="single" w:sz="8" w:space="0" w:color="E5EBF4"/>
              <w:left w:val="nil"/>
              <w:bottom w:val="nil"/>
              <w:right w:val="nil"/>
            </w:tcBorders>
            <w:shd w:val="clear" w:color="000000" w:fill="F5F6FA"/>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30-Jan-2016 </w:t>
            </w:r>
          </w:p>
        </w:tc>
        <w:tc>
          <w:tcPr>
            <w:tcW w:w="1249" w:type="dxa"/>
            <w:tcBorders>
              <w:top w:val="single" w:sz="8" w:space="0" w:color="E5EBF4"/>
              <w:left w:val="nil"/>
              <w:bottom w:val="nil"/>
              <w:right w:val="nil"/>
            </w:tcBorders>
            <w:shd w:val="clear" w:color="000000" w:fill="F5F6FA"/>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28-Jan-2017 </w:t>
            </w:r>
          </w:p>
        </w:tc>
        <w:tc>
          <w:tcPr>
            <w:tcW w:w="1260" w:type="dxa"/>
            <w:tcBorders>
              <w:top w:val="single" w:sz="8" w:space="0" w:color="E5EBF4"/>
              <w:left w:val="nil"/>
              <w:bottom w:val="nil"/>
              <w:right w:val="nil"/>
            </w:tcBorders>
            <w:shd w:val="clear" w:color="000000" w:fill="F5F6FA"/>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03-Feb-2018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Revenue</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73,785 </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69,495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71,879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Net Sales</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73,785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69,495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71,879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Revenue</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73,785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69,495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71,879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Cost of Revenue, Total</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51,997 </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49,145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51,125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Cost of Revenue</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51,997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49,145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51,125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Gross Profit</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21,788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20,350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20,754 </w:t>
            </w:r>
          </w:p>
        </w:tc>
      </w:tr>
      <w:tr w:rsidR="00AF3316" w:rsidRPr="00AF3316" w:rsidTr="00AF3316">
        <w:trPr>
          <w:trHeight w:val="300"/>
        </w:trPr>
        <w:tc>
          <w:tcPr>
            <w:tcW w:w="4125" w:type="dxa"/>
            <w:gridSpan w:val="2"/>
            <w:tcBorders>
              <w:top w:val="single" w:sz="8" w:space="0" w:color="E5EBF4"/>
              <w:left w:val="nil"/>
              <w:bottom w:val="single" w:sz="8" w:space="0" w:color="E5EBF4"/>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Selling/General/Admin. Expenses, Total</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14,665 </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13,313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14,157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Selling/General/Administrative Expense</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14,665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13,313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14,157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Depreciation/Amortization</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2,213 </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2,025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2,194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Depreciation</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2,213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2,025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2,194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Unusual Expense (Income)</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(620)</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465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Impairment-Assets Held for Use</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43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91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Loss(Gain) on Sale of Assets - Operating</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(620)</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Unusual Expense (Income)</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422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123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Operating Expense</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68,255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64,948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67,690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Operating Income</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5,530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4,547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4,189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Interest Expense, Net Non-Operating</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(616)</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(591)</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(568)</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Interest Expense - Non-Operating</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(616)</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(611)</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(584)</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Interest Capitalized - Non-Operating</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Interest/Invest Income - Non-Operating</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(36)</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24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Investment Income - Non-Operating</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(36)</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24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Interest Inc.(Exp.),Net-Non-Op., Total</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(652)</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(567)</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(559)</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Net</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45 </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(15)</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Non-Operating Income (Expense)</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45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(15)</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Net Income Before Taxes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4,923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3,965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3,646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Provision for Income Taxes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1,602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1,296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1,106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Net Income After Taxes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3,321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2,669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2,540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Net Income Before Extra. Items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3,321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2,669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2,540 </w:t>
            </w:r>
          </w:p>
        </w:tc>
      </w:tr>
      <w:tr w:rsidR="00AF3316" w:rsidRPr="00AF3316" w:rsidTr="00AF3316">
        <w:trPr>
          <w:trHeight w:val="300"/>
        </w:trPr>
        <w:tc>
          <w:tcPr>
            <w:tcW w:w="4125" w:type="dxa"/>
            <w:gridSpan w:val="2"/>
            <w:tcBorders>
              <w:top w:val="single" w:sz="8" w:space="0" w:color="E5EBF4"/>
              <w:left w:val="nil"/>
              <w:bottom w:val="single" w:sz="8" w:space="0" w:color="E5EBF4"/>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Discontinued Operations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42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68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Extraordinary Item</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388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Extraordinary Items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42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68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394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Net Income</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3,363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2,737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2,934 </w:t>
            </w:r>
          </w:p>
        </w:tc>
      </w:tr>
      <w:tr w:rsidR="00AF3316" w:rsidRPr="00AF3316" w:rsidTr="00AF3316">
        <w:trPr>
          <w:trHeight w:val="300"/>
        </w:trPr>
        <w:tc>
          <w:tcPr>
            <w:tcW w:w="4125" w:type="dxa"/>
            <w:gridSpan w:val="2"/>
            <w:tcBorders>
              <w:top w:val="single" w:sz="8" w:space="0" w:color="E5EBF4"/>
              <w:left w:val="nil"/>
              <w:bottom w:val="single" w:sz="8" w:space="0" w:color="E5EBF4"/>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lastRenderedPageBreak/>
              <w:t> </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Income Available to Com </w:t>
            </w:r>
            <w:proofErr w:type="spellStart"/>
            <w:r w:rsidRPr="00AF3316">
              <w:rPr>
                <w:rFonts w:ascii="Calibri" w:eastAsia="Times New Roman" w:hAnsi="Calibri" w:cs="Calibri"/>
                <w:color w:val="000000"/>
                <w:sz w:val="20"/>
                <w:szCs w:val="20"/>
              </w:rPr>
              <w:t>Excl</w:t>
            </w:r>
            <w:proofErr w:type="spellEnd"/>
            <w:r w:rsidRPr="00AF3316">
              <w:rPr>
                <w:rFonts w:ascii="Calibri" w:eastAsia="Times New Roman" w:hAnsi="Calibri" w:cs="Calibri"/>
                <w:color w:val="000000"/>
                <w:sz w:val="20"/>
                <w:szCs w:val="20"/>
              </w:rPr>
              <w:t xml:space="preserve"> </w:t>
            </w:r>
            <w:proofErr w:type="spellStart"/>
            <w:r w:rsidRPr="00AF3316">
              <w:rPr>
                <w:rFonts w:ascii="Calibri" w:eastAsia="Times New Roman" w:hAnsi="Calibri" w:cs="Calibri"/>
                <w:color w:val="000000"/>
                <w:sz w:val="20"/>
                <w:szCs w:val="20"/>
              </w:rPr>
              <w:t>ExtraOrd</w:t>
            </w:r>
            <w:proofErr w:type="spellEnd"/>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3,321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2,669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2,540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Income Available to Com </w:t>
            </w:r>
            <w:proofErr w:type="spellStart"/>
            <w:r w:rsidRPr="00AF3316">
              <w:rPr>
                <w:rFonts w:ascii="Calibri" w:eastAsia="Times New Roman" w:hAnsi="Calibri" w:cs="Calibri"/>
                <w:color w:val="000000"/>
                <w:sz w:val="20"/>
                <w:szCs w:val="20"/>
              </w:rPr>
              <w:t>Incl</w:t>
            </w:r>
            <w:proofErr w:type="spellEnd"/>
            <w:r w:rsidRPr="00AF3316">
              <w:rPr>
                <w:rFonts w:ascii="Calibri" w:eastAsia="Times New Roman" w:hAnsi="Calibri" w:cs="Calibri"/>
                <w:color w:val="000000"/>
                <w:sz w:val="20"/>
                <w:szCs w:val="20"/>
              </w:rPr>
              <w:t xml:space="preserve"> </w:t>
            </w:r>
            <w:proofErr w:type="spellStart"/>
            <w:r w:rsidRPr="00AF3316">
              <w:rPr>
                <w:rFonts w:ascii="Calibri" w:eastAsia="Times New Roman" w:hAnsi="Calibri" w:cs="Calibri"/>
                <w:color w:val="000000"/>
                <w:sz w:val="20"/>
                <w:szCs w:val="20"/>
              </w:rPr>
              <w:t>ExtraOrd</w:t>
            </w:r>
            <w:proofErr w:type="spellEnd"/>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3,363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2,737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2,934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Basic Weighted Average Shares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628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578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547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Basic EPS Excluding Extraordinary Items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5.29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4.62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4.65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Basic EPS Including Extraordinary Items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5.36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4.74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5.37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Diluted Net Income</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3,363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2,737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2,934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Diluted Weighted Average Shares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633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583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550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Diluted EPS Excluding </w:t>
            </w:r>
            <w:proofErr w:type="spellStart"/>
            <w:r w:rsidRPr="00AF3316">
              <w:rPr>
                <w:rFonts w:ascii="Calibri" w:eastAsia="Times New Roman" w:hAnsi="Calibri" w:cs="Calibri"/>
                <w:color w:val="000000"/>
                <w:sz w:val="20"/>
                <w:szCs w:val="20"/>
              </w:rPr>
              <w:t>ExtraOrd</w:t>
            </w:r>
            <w:proofErr w:type="spellEnd"/>
            <w:r w:rsidRPr="00AF3316">
              <w:rPr>
                <w:rFonts w:ascii="Calibri" w:eastAsia="Times New Roman" w:hAnsi="Calibri" w:cs="Calibri"/>
                <w:color w:val="000000"/>
                <w:sz w:val="20"/>
                <w:szCs w:val="20"/>
              </w:rPr>
              <w:t xml:space="preserve"> Items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5.25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4.58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4.62 </w:t>
            </w:r>
          </w:p>
        </w:tc>
      </w:tr>
      <w:tr w:rsidR="00AF3316" w:rsidRPr="00AF3316" w:rsidTr="00AF3316">
        <w:trPr>
          <w:trHeight w:val="288"/>
        </w:trPr>
        <w:tc>
          <w:tcPr>
            <w:tcW w:w="4125" w:type="dxa"/>
            <w:gridSpan w:val="2"/>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Diluted EPS Including </w:t>
            </w:r>
            <w:proofErr w:type="spellStart"/>
            <w:r w:rsidRPr="00AF3316">
              <w:rPr>
                <w:rFonts w:ascii="Calibri" w:eastAsia="Times New Roman" w:hAnsi="Calibri" w:cs="Calibri"/>
                <w:color w:val="000000"/>
                <w:sz w:val="20"/>
                <w:szCs w:val="20"/>
              </w:rPr>
              <w:t>ExtraOrd</w:t>
            </w:r>
            <w:proofErr w:type="spellEnd"/>
            <w:r w:rsidRPr="00AF3316">
              <w:rPr>
                <w:rFonts w:ascii="Calibri" w:eastAsia="Times New Roman" w:hAnsi="Calibri" w:cs="Calibri"/>
                <w:color w:val="000000"/>
                <w:sz w:val="20"/>
                <w:szCs w:val="20"/>
              </w:rPr>
              <w:t xml:space="preserve"> Items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5.31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4.70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5.33 </w:t>
            </w:r>
          </w:p>
        </w:tc>
      </w:tr>
      <w:tr w:rsidR="00AF3316" w:rsidRPr="00AF3316" w:rsidTr="00AF3316">
        <w:trPr>
          <w:trHeight w:val="240"/>
        </w:trPr>
        <w:tc>
          <w:tcPr>
            <w:tcW w:w="4125" w:type="dxa"/>
            <w:gridSpan w:val="2"/>
            <w:tcBorders>
              <w:top w:val="nil"/>
              <w:left w:val="nil"/>
              <w:bottom w:val="single" w:sz="8" w:space="0" w:color="E5EBF4"/>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Supplemental ($ Millions)</w:t>
            </w:r>
          </w:p>
        </w:tc>
        <w:tc>
          <w:tcPr>
            <w:tcW w:w="130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49"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60"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DPS - Common Stock Primary Issue</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2.16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2.32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2.44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Gross Dividends - Common Stock</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1,378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1,359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1,356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Special Items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(620)</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465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Normalized Income Before Taxes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4,303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4,430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3,860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Effect of Special Items on Income Taxes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(202)</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152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65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roofErr w:type="spellStart"/>
            <w:r w:rsidRPr="00AF3316">
              <w:rPr>
                <w:rFonts w:ascii="Calibri" w:eastAsia="Times New Roman" w:hAnsi="Calibri" w:cs="Calibri"/>
                <w:color w:val="000000"/>
                <w:sz w:val="20"/>
                <w:szCs w:val="20"/>
              </w:rPr>
              <w:t>Inc</w:t>
            </w:r>
            <w:proofErr w:type="spellEnd"/>
            <w:r w:rsidRPr="00AF3316">
              <w:rPr>
                <w:rFonts w:ascii="Calibri" w:eastAsia="Times New Roman" w:hAnsi="Calibri" w:cs="Calibri"/>
                <w:color w:val="000000"/>
                <w:sz w:val="20"/>
                <w:szCs w:val="20"/>
              </w:rPr>
              <w:t xml:space="preserve"> Tax Ex Impact of </w:t>
            </w:r>
            <w:proofErr w:type="spellStart"/>
            <w:r w:rsidRPr="00AF3316">
              <w:rPr>
                <w:rFonts w:ascii="Calibri" w:eastAsia="Times New Roman" w:hAnsi="Calibri" w:cs="Calibri"/>
                <w:color w:val="000000"/>
                <w:sz w:val="20"/>
                <w:szCs w:val="20"/>
              </w:rPr>
              <w:t>Sp</w:t>
            </w:r>
            <w:proofErr w:type="spellEnd"/>
            <w:r w:rsidRPr="00AF3316">
              <w:rPr>
                <w:rFonts w:ascii="Calibri" w:eastAsia="Times New Roman" w:hAnsi="Calibri" w:cs="Calibri"/>
                <w:color w:val="000000"/>
                <w:sz w:val="20"/>
                <w:szCs w:val="20"/>
              </w:rPr>
              <w:t xml:space="preserve"> Items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1,400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1,448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1,171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Normalized Income After Taxes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2,903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2,982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2,689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Normalized Inc. Avail to Com.</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2,903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2,982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2,689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Basic Normalized EPS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4.62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5.16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4.92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Diluted Normalized EPS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4.59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5.12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4.89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roofErr w:type="spellStart"/>
            <w:r w:rsidRPr="00AF3316">
              <w:rPr>
                <w:rFonts w:ascii="Calibri" w:eastAsia="Times New Roman" w:hAnsi="Calibri" w:cs="Calibri"/>
                <w:color w:val="000000"/>
                <w:sz w:val="20"/>
                <w:szCs w:val="20"/>
              </w:rPr>
              <w:t>Amort</w:t>
            </w:r>
            <w:proofErr w:type="spellEnd"/>
            <w:r w:rsidRPr="00AF3316">
              <w:rPr>
                <w:rFonts w:ascii="Calibri" w:eastAsia="Times New Roman" w:hAnsi="Calibri" w:cs="Calibri"/>
                <w:color w:val="000000"/>
                <w:sz w:val="20"/>
                <w:szCs w:val="20"/>
              </w:rPr>
              <w:t xml:space="preserve"> of Intangibles, Supplemental</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23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Depreciation, Supplemental</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2,191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2,280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2,429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Interest Expense, Supplemental</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616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591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568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Interest Capitalized, Supplemental</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(20)</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(16)</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Rental Expense, Supplemental</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198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202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223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Stock-Based Compensation, Supplemental</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115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116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115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Advertising Expense, Supplemental</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1,434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1,465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1,457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Income Taxes - Non-Recurring Tax Change</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(388)</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Audit Fees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Audit-Related Fees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Tax Fees</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Normalized EBIT</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4,910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5,012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4,403 </w:t>
            </w:r>
          </w:p>
        </w:tc>
      </w:tr>
      <w:tr w:rsidR="00AF3316" w:rsidRPr="00AF3316" w:rsidTr="00AF3316">
        <w:trPr>
          <w:trHeight w:val="288"/>
        </w:trPr>
        <w:tc>
          <w:tcPr>
            <w:tcW w:w="4125" w:type="dxa"/>
            <w:gridSpan w:val="2"/>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Normalized EBITDA</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7,124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7,310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6,848 </w:t>
            </w:r>
          </w:p>
        </w:tc>
      </w:tr>
      <w:tr w:rsidR="00AF3316" w:rsidRPr="00AF3316" w:rsidTr="00AF3316">
        <w:trPr>
          <w:trHeight w:val="240"/>
        </w:trPr>
        <w:tc>
          <w:tcPr>
            <w:tcW w:w="4125" w:type="dxa"/>
            <w:gridSpan w:val="2"/>
            <w:tcBorders>
              <w:top w:val="nil"/>
              <w:left w:val="nil"/>
              <w:bottom w:val="single" w:sz="8" w:space="0" w:color="E5EBF4"/>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Tax &amp; Pension Items ($ Millions)</w:t>
            </w:r>
          </w:p>
        </w:tc>
        <w:tc>
          <w:tcPr>
            <w:tcW w:w="130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49"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60"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Current Tax - Total</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1,924 </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1,255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910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Current Tax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1,652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1,108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746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Current Tax - Foreign</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59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Current Tax - Local</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265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141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105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Deferred Tax - Total</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(322)</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41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196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Deferred Tax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(272)</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Deferred Tax - Foreign</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Deferred Tax - Local</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(50)</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28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Income Tax - Total</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1,602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1,296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1,106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lastRenderedPageBreak/>
              <w:t>Domestic Pension Plan Expense</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78 </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27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Interest Cost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154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134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Service Cost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109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87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86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Prior Service Cost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(11)</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(11)</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(11)</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Expected Return on Assets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(260)</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(256)</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(250)</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Actuarial Gains and Losses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82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61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Curtailments &amp; Settlements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Pension Expense</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322 </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219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281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Defined Contribution Expense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244 </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217 </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254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Assumptions</w:t>
            </w:r>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Discount Rate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3.87%</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4.70%</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4.40%</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Expected Rate of Return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7.50%</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6.80%</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6.55%</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Compensation Rate - Domestic</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3.00%</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3.00%</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3.00%</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Plan Interest Cost</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154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134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140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Plan Service Cost</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109 </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87 </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86 </w:t>
            </w:r>
          </w:p>
        </w:tc>
      </w:tr>
      <w:tr w:rsidR="00AF3316" w:rsidRPr="00AF3316" w:rsidTr="00AF3316">
        <w:trPr>
          <w:trHeight w:val="288"/>
        </w:trPr>
        <w:tc>
          <w:tcPr>
            <w:tcW w:w="4125" w:type="dxa"/>
            <w:gridSpan w:val="2"/>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Plan Expected Return</w:t>
            </w:r>
          </w:p>
        </w:tc>
        <w:tc>
          <w:tcPr>
            <w:tcW w:w="130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(260)</w:t>
            </w:r>
          </w:p>
        </w:tc>
        <w:tc>
          <w:tcPr>
            <w:tcW w:w="1249"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(256)</w:t>
            </w:r>
          </w:p>
        </w:tc>
        <w:tc>
          <w:tcPr>
            <w:tcW w:w="1260"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(250)</w:t>
            </w:r>
          </w:p>
        </w:tc>
      </w:tr>
      <w:tr w:rsidR="00AF3316" w:rsidRPr="00AF3316" w:rsidTr="00AF3316">
        <w:trPr>
          <w:trHeight w:val="300"/>
        </w:trPr>
        <w:tc>
          <w:tcPr>
            <w:tcW w:w="4125" w:type="dxa"/>
            <w:gridSpan w:val="2"/>
            <w:tcBorders>
              <w:top w:val="nil"/>
              <w:left w:val="nil"/>
              <w:bottom w:val="single" w:sz="8" w:space="0" w:color="E5EBF4"/>
              <w:right w:val="nil"/>
            </w:tcBorders>
            <w:shd w:val="clear" w:color="000000" w:fill="C8D7DE"/>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Dividends and Capital Changes</w:t>
            </w:r>
          </w:p>
        </w:tc>
        <w:tc>
          <w:tcPr>
            <w:tcW w:w="1306" w:type="dxa"/>
            <w:tcBorders>
              <w:top w:val="nil"/>
              <w:left w:val="nil"/>
              <w:bottom w:val="nil"/>
              <w:right w:val="nil"/>
            </w:tcBorders>
            <w:shd w:val="clear" w:color="000000" w:fill="C8D7DE"/>
            <w:vAlign w:val="bottom"/>
            <w:hideMark/>
          </w:tcPr>
          <w:p w:rsidR="00AF3316" w:rsidRPr="00AF3316" w:rsidRDefault="00AF3316" w:rsidP="00AF3316">
            <w:pPr>
              <w:spacing w:after="0" w:line="240" w:lineRule="auto"/>
              <w:rPr>
                <w:rFonts w:ascii="Calibri" w:eastAsia="Times New Roman" w:hAnsi="Calibri" w:cs="Calibri"/>
                <w:color w:val="000000"/>
              </w:rPr>
            </w:pPr>
            <w:r w:rsidRPr="00AF3316">
              <w:rPr>
                <w:rFonts w:ascii="Calibri" w:eastAsia="Times New Roman" w:hAnsi="Calibri" w:cs="Calibri"/>
                <w:color w:val="000000"/>
              </w:rPr>
              <w:t> </w:t>
            </w:r>
          </w:p>
        </w:tc>
        <w:tc>
          <w:tcPr>
            <w:tcW w:w="1249" w:type="dxa"/>
            <w:tcBorders>
              <w:top w:val="nil"/>
              <w:left w:val="nil"/>
              <w:bottom w:val="nil"/>
              <w:right w:val="nil"/>
            </w:tcBorders>
            <w:shd w:val="clear" w:color="000000" w:fill="C8D7DE"/>
            <w:vAlign w:val="bottom"/>
            <w:hideMark/>
          </w:tcPr>
          <w:p w:rsidR="00AF3316" w:rsidRPr="00AF3316" w:rsidRDefault="00AF3316" w:rsidP="00AF3316">
            <w:pPr>
              <w:spacing w:after="0" w:line="240" w:lineRule="auto"/>
              <w:rPr>
                <w:rFonts w:ascii="Calibri" w:eastAsia="Times New Roman" w:hAnsi="Calibri" w:cs="Calibri"/>
                <w:color w:val="000000"/>
              </w:rPr>
            </w:pPr>
            <w:r w:rsidRPr="00AF3316">
              <w:rPr>
                <w:rFonts w:ascii="Calibri" w:eastAsia="Times New Roman" w:hAnsi="Calibri" w:cs="Calibri"/>
                <w:color w:val="000000"/>
              </w:rPr>
              <w:t> </w:t>
            </w:r>
          </w:p>
        </w:tc>
        <w:tc>
          <w:tcPr>
            <w:tcW w:w="1260" w:type="dxa"/>
            <w:tcBorders>
              <w:top w:val="nil"/>
              <w:left w:val="nil"/>
              <w:bottom w:val="nil"/>
              <w:right w:val="nil"/>
            </w:tcBorders>
            <w:shd w:val="clear" w:color="000000" w:fill="C8D7DE"/>
            <w:vAlign w:val="bottom"/>
            <w:hideMark/>
          </w:tcPr>
          <w:p w:rsidR="00AF3316" w:rsidRPr="00AF3316" w:rsidRDefault="00AF3316" w:rsidP="00AF3316">
            <w:pPr>
              <w:spacing w:after="0" w:line="240" w:lineRule="auto"/>
              <w:rPr>
                <w:rFonts w:ascii="Calibri" w:eastAsia="Times New Roman" w:hAnsi="Calibri" w:cs="Calibri"/>
                <w:color w:val="000000"/>
              </w:rPr>
            </w:pPr>
            <w:r w:rsidRPr="00AF3316">
              <w:rPr>
                <w:rFonts w:ascii="Calibri" w:eastAsia="Times New Roman" w:hAnsi="Calibri" w:cs="Calibri"/>
                <w:color w:val="000000"/>
              </w:rPr>
              <w:t> </w:t>
            </w: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Target </w:t>
            </w:r>
            <w:proofErr w:type="spellStart"/>
            <w:r w:rsidRPr="00AF3316">
              <w:rPr>
                <w:rFonts w:ascii="Calibri" w:eastAsia="Times New Roman" w:hAnsi="Calibri" w:cs="Calibri"/>
                <w:color w:val="000000"/>
                <w:sz w:val="20"/>
                <w:szCs w:val="20"/>
              </w:rPr>
              <w:t>Ord</w:t>
            </w:r>
            <w:proofErr w:type="spellEnd"/>
            <w:r w:rsidRPr="00AF3316">
              <w:rPr>
                <w:rFonts w:ascii="Calibri" w:eastAsia="Times New Roman" w:hAnsi="Calibri" w:cs="Calibri"/>
                <w:color w:val="000000"/>
                <w:sz w:val="20"/>
                <w:szCs w:val="20"/>
              </w:rPr>
              <w:t xml:space="preserve"> </w:t>
            </w:r>
            <w:proofErr w:type="spellStart"/>
            <w:r w:rsidRPr="00AF3316">
              <w:rPr>
                <w:rFonts w:ascii="Calibri" w:eastAsia="Times New Roman" w:hAnsi="Calibri" w:cs="Calibri"/>
                <w:color w:val="000000"/>
                <w:sz w:val="20"/>
                <w:szCs w:val="20"/>
              </w:rPr>
              <w:t>Shs</w:t>
            </w:r>
            <w:proofErr w:type="spellEnd"/>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49"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60"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288"/>
        </w:trPr>
        <w:tc>
          <w:tcPr>
            <w:tcW w:w="4125" w:type="dxa"/>
            <w:gridSpan w:val="2"/>
            <w:vMerge w:val="restart"/>
            <w:tcBorders>
              <w:top w:val="single" w:sz="8" w:space="0" w:color="E5EBF4"/>
              <w:left w:val="nil"/>
              <w:bottom w:val="nil"/>
              <w:right w:val="single" w:sz="8" w:space="0" w:color="CCCCCC"/>
            </w:tcBorders>
            <w:shd w:val="clear" w:color="000000" w:fill="F2F4F9"/>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Cash Dividend</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$0.56 I</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$0.60 I</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$0.62 I</w:t>
            </w:r>
          </w:p>
        </w:tc>
      </w:tr>
      <w:tr w:rsidR="00AF3316" w:rsidRPr="00AF3316" w:rsidTr="00AF3316">
        <w:trPr>
          <w:trHeight w:val="300"/>
        </w:trPr>
        <w:tc>
          <w:tcPr>
            <w:tcW w:w="4125" w:type="dxa"/>
            <w:gridSpan w:val="2"/>
            <w:vMerge/>
            <w:tcBorders>
              <w:top w:val="single" w:sz="8" w:space="0" w:color="E5EBF4"/>
              <w:left w:val="nil"/>
              <w:bottom w:val="nil"/>
              <w:right w:val="single" w:sz="8" w:space="0" w:color="CCCCCC"/>
            </w:tcBorders>
            <w:vAlign w:val="center"/>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306"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(14-Jan) Ann. </w:t>
            </w:r>
          </w:p>
        </w:tc>
        <w:tc>
          <w:tcPr>
            <w:tcW w:w="1249"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(12-Jan) Ann. </w:t>
            </w:r>
          </w:p>
        </w:tc>
        <w:tc>
          <w:tcPr>
            <w:tcW w:w="1260"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(11-Jan) Ann. </w:t>
            </w:r>
          </w:p>
        </w:tc>
      </w:tr>
      <w:tr w:rsidR="00AF3316" w:rsidRPr="00AF3316" w:rsidTr="00AF3316">
        <w:trPr>
          <w:trHeight w:val="288"/>
        </w:trPr>
        <w:tc>
          <w:tcPr>
            <w:tcW w:w="4125" w:type="dxa"/>
            <w:gridSpan w:val="2"/>
            <w:vMerge/>
            <w:tcBorders>
              <w:top w:val="single" w:sz="8" w:space="0" w:color="E5EBF4"/>
              <w:left w:val="nil"/>
              <w:bottom w:val="nil"/>
              <w:right w:val="single" w:sz="8" w:space="0" w:color="CCCCCC"/>
            </w:tcBorders>
            <w:vAlign w:val="center"/>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$0.56 F</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$0.60 F</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$0.62 F</w:t>
            </w:r>
          </w:p>
        </w:tc>
      </w:tr>
      <w:tr w:rsidR="00AF3316" w:rsidRPr="00AF3316" w:rsidTr="00AF3316">
        <w:trPr>
          <w:trHeight w:val="300"/>
        </w:trPr>
        <w:tc>
          <w:tcPr>
            <w:tcW w:w="4125" w:type="dxa"/>
            <w:gridSpan w:val="2"/>
            <w:vMerge/>
            <w:tcBorders>
              <w:top w:val="single" w:sz="8" w:space="0" w:color="E5EBF4"/>
              <w:left w:val="nil"/>
              <w:bottom w:val="nil"/>
              <w:right w:val="single" w:sz="8" w:space="0" w:color="CCCCCC"/>
            </w:tcBorders>
            <w:vAlign w:val="center"/>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306"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(11-Sep) Ann. </w:t>
            </w:r>
          </w:p>
        </w:tc>
        <w:tc>
          <w:tcPr>
            <w:tcW w:w="1249"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(21-Sep) Ann. </w:t>
            </w:r>
          </w:p>
        </w:tc>
        <w:tc>
          <w:tcPr>
            <w:tcW w:w="1260"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(21-Sep) Ann. </w:t>
            </w:r>
          </w:p>
        </w:tc>
      </w:tr>
      <w:tr w:rsidR="00AF3316" w:rsidRPr="00AF3316" w:rsidTr="00AF3316">
        <w:trPr>
          <w:trHeight w:val="288"/>
        </w:trPr>
        <w:tc>
          <w:tcPr>
            <w:tcW w:w="4125" w:type="dxa"/>
            <w:gridSpan w:val="2"/>
            <w:vMerge/>
            <w:tcBorders>
              <w:top w:val="single" w:sz="8" w:space="0" w:color="E5EBF4"/>
              <w:left w:val="nil"/>
              <w:bottom w:val="nil"/>
              <w:right w:val="single" w:sz="8" w:space="0" w:color="CCCCCC"/>
            </w:tcBorders>
            <w:vAlign w:val="center"/>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$0.56 I</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$0.60 I</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$0.62 I</w:t>
            </w:r>
          </w:p>
        </w:tc>
      </w:tr>
      <w:tr w:rsidR="00AF3316" w:rsidRPr="00AF3316" w:rsidTr="00AF3316">
        <w:trPr>
          <w:trHeight w:val="300"/>
        </w:trPr>
        <w:tc>
          <w:tcPr>
            <w:tcW w:w="4125" w:type="dxa"/>
            <w:gridSpan w:val="2"/>
            <w:vMerge/>
            <w:tcBorders>
              <w:top w:val="single" w:sz="8" w:space="0" w:color="E5EBF4"/>
              <w:left w:val="nil"/>
              <w:bottom w:val="nil"/>
              <w:right w:val="single" w:sz="8" w:space="0" w:color="CCCCCC"/>
            </w:tcBorders>
            <w:vAlign w:val="center"/>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306"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(09-Jun) Ann. </w:t>
            </w:r>
          </w:p>
        </w:tc>
        <w:tc>
          <w:tcPr>
            <w:tcW w:w="1249"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(08-Jun) Ann. </w:t>
            </w:r>
          </w:p>
        </w:tc>
        <w:tc>
          <w:tcPr>
            <w:tcW w:w="1260"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(16-Jun) Ann. </w:t>
            </w:r>
          </w:p>
        </w:tc>
      </w:tr>
      <w:tr w:rsidR="00AF3316" w:rsidRPr="00AF3316" w:rsidTr="00AF3316">
        <w:trPr>
          <w:trHeight w:val="288"/>
        </w:trPr>
        <w:tc>
          <w:tcPr>
            <w:tcW w:w="4125" w:type="dxa"/>
            <w:gridSpan w:val="2"/>
            <w:vMerge/>
            <w:tcBorders>
              <w:top w:val="single" w:sz="8" w:space="0" w:color="E5EBF4"/>
              <w:left w:val="nil"/>
              <w:bottom w:val="nil"/>
              <w:right w:val="single" w:sz="8" w:space="0" w:color="CCCCCC"/>
            </w:tcBorders>
            <w:vAlign w:val="center"/>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$0.52 I</w:t>
            </w:r>
          </w:p>
        </w:tc>
        <w:tc>
          <w:tcPr>
            <w:tcW w:w="1249"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$0.56 I</w:t>
            </w:r>
          </w:p>
        </w:tc>
        <w:tc>
          <w:tcPr>
            <w:tcW w:w="1260"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$0.60 I</w:t>
            </w:r>
          </w:p>
        </w:tc>
      </w:tr>
      <w:tr w:rsidR="00AF3316" w:rsidRPr="00AF3316" w:rsidTr="00AF3316">
        <w:trPr>
          <w:trHeight w:val="288"/>
        </w:trPr>
        <w:tc>
          <w:tcPr>
            <w:tcW w:w="4125" w:type="dxa"/>
            <w:gridSpan w:val="2"/>
            <w:vMerge/>
            <w:tcBorders>
              <w:top w:val="single" w:sz="8" w:space="0" w:color="E5EBF4"/>
              <w:left w:val="nil"/>
              <w:bottom w:val="nil"/>
              <w:right w:val="single" w:sz="8" w:space="0" w:color="CCCCCC"/>
            </w:tcBorders>
            <w:vAlign w:val="center"/>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306"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(13-Mar) Ann. </w:t>
            </w:r>
          </w:p>
        </w:tc>
        <w:tc>
          <w:tcPr>
            <w:tcW w:w="1249"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(10-Mar) Ann. </w:t>
            </w:r>
          </w:p>
        </w:tc>
        <w:tc>
          <w:tcPr>
            <w:tcW w:w="1260"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(09-Mar) Ann. </w:t>
            </w:r>
          </w:p>
        </w:tc>
      </w:tr>
      <w:tr w:rsidR="00AF3316" w:rsidRPr="00AF3316" w:rsidTr="00AF3316">
        <w:trPr>
          <w:trHeight w:val="300"/>
        </w:trPr>
        <w:tc>
          <w:tcPr>
            <w:tcW w:w="4125" w:type="dxa"/>
            <w:gridSpan w:val="2"/>
            <w:tcBorders>
              <w:top w:val="nil"/>
              <w:left w:val="nil"/>
              <w:bottom w:val="single" w:sz="8" w:space="0" w:color="E5EBF4"/>
              <w:right w:val="nil"/>
            </w:tcBorders>
            <w:shd w:val="clear" w:color="000000" w:fill="C8D7DE"/>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Dividends &amp; Capital Changes After Feb-2018</w:t>
            </w:r>
          </w:p>
        </w:tc>
        <w:tc>
          <w:tcPr>
            <w:tcW w:w="1306" w:type="dxa"/>
            <w:tcBorders>
              <w:top w:val="nil"/>
              <w:left w:val="nil"/>
              <w:bottom w:val="nil"/>
              <w:right w:val="nil"/>
            </w:tcBorders>
            <w:shd w:val="clear" w:color="000000" w:fill="C8D7DE"/>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4125" w:type="dxa"/>
            <w:gridSpan w:val="2"/>
            <w:tcBorders>
              <w:top w:val="single" w:sz="8" w:space="0" w:color="E5EBF4"/>
              <w:left w:val="nil"/>
              <w:bottom w:val="single" w:sz="8" w:space="0" w:color="E5EBF4"/>
              <w:right w:val="single" w:sz="8" w:space="0" w:color="CCCCCC"/>
            </w:tcBorders>
            <w:shd w:val="clear" w:color="000000" w:fill="E9EFF6"/>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Target </w:t>
            </w:r>
            <w:proofErr w:type="spellStart"/>
            <w:r w:rsidRPr="00AF3316">
              <w:rPr>
                <w:rFonts w:ascii="Calibri" w:eastAsia="Times New Roman" w:hAnsi="Calibri" w:cs="Calibri"/>
                <w:color w:val="000000"/>
                <w:sz w:val="20"/>
                <w:szCs w:val="20"/>
              </w:rPr>
              <w:t>Ord</w:t>
            </w:r>
            <w:proofErr w:type="spellEnd"/>
            <w:r w:rsidRPr="00AF3316">
              <w:rPr>
                <w:rFonts w:ascii="Calibri" w:eastAsia="Times New Roman" w:hAnsi="Calibri" w:cs="Calibri"/>
                <w:color w:val="000000"/>
                <w:sz w:val="20"/>
                <w:szCs w:val="20"/>
              </w:rPr>
              <w:t xml:space="preserve"> </w:t>
            </w:r>
            <w:proofErr w:type="spellStart"/>
            <w:r w:rsidRPr="00AF3316">
              <w:rPr>
                <w:rFonts w:ascii="Calibri" w:eastAsia="Times New Roman" w:hAnsi="Calibri" w:cs="Calibri"/>
                <w:color w:val="000000"/>
                <w:sz w:val="20"/>
                <w:szCs w:val="20"/>
              </w:rPr>
              <w:t>Shs</w:t>
            </w:r>
            <w:proofErr w:type="spellEnd"/>
          </w:p>
        </w:tc>
        <w:tc>
          <w:tcPr>
            <w:tcW w:w="130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1064" w:type="dxa"/>
            <w:tcBorders>
              <w:top w:val="nil"/>
              <w:left w:val="nil"/>
              <w:bottom w:val="nil"/>
              <w:right w:val="nil"/>
            </w:tcBorders>
            <w:shd w:val="clear" w:color="000000" w:fill="F2F4F9"/>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2018</w:t>
            </w:r>
          </w:p>
        </w:tc>
        <w:tc>
          <w:tcPr>
            <w:tcW w:w="3061" w:type="dxa"/>
            <w:tcBorders>
              <w:top w:val="nil"/>
              <w:left w:val="nil"/>
              <w:bottom w:val="nil"/>
              <w:right w:val="single" w:sz="8" w:space="0" w:color="CCCCCC"/>
            </w:tcBorders>
            <w:shd w:val="clear" w:color="000000" w:fill="F2F4F9"/>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Cash Dividend</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$0.64 F</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1064" w:type="dxa"/>
            <w:tcBorders>
              <w:top w:val="single" w:sz="8" w:space="0" w:color="E5EBF4"/>
              <w:left w:val="nil"/>
              <w:bottom w:val="nil"/>
              <w:right w:val="nil"/>
            </w:tcBorders>
            <w:shd w:val="clear" w:color="000000" w:fill="F2F4F9"/>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306"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(19-Sep) Ann. </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1064" w:type="dxa"/>
            <w:tcBorders>
              <w:top w:val="single" w:sz="8" w:space="0" w:color="E5EBF4"/>
              <w:left w:val="nil"/>
              <w:bottom w:val="nil"/>
              <w:right w:val="nil"/>
            </w:tcBorders>
            <w:shd w:val="clear" w:color="000000" w:fill="F2F4F9"/>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$0.64 I</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1064" w:type="dxa"/>
            <w:tcBorders>
              <w:top w:val="single" w:sz="8" w:space="0" w:color="E5EBF4"/>
              <w:left w:val="nil"/>
              <w:bottom w:val="nil"/>
              <w:right w:val="nil"/>
            </w:tcBorders>
            <w:shd w:val="clear" w:color="000000" w:fill="F2F4F9"/>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306"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(13-Jun) Ann. </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1064" w:type="dxa"/>
            <w:tcBorders>
              <w:top w:val="single" w:sz="8" w:space="0" w:color="E5EBF4"/>
              <w:left w:val="nil"/>
              <w:bottom w:val="nil"/>
              <w:right w:val="nil"/>
            </w:tcBorders>
            <w:shd w:val="clear" w:color="000000" w:fill="F2F4F9"/>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$0.62 I</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1064" w:type="dxa"/>
            <w:tcBorders>
              <w:top w:val="single" w:sz="8" w:space="0" w:color="E5EBF4"/>
              <w:left w:val="nil"/>
              <w:bottom w:val="nil"/>
              <w:right w:val="nil"/>
            </w:tcBorders>
            <w:shd w:val="clear" w:color="000000" w:fill="F2F4F9"/>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306" w:type="dxa"/>
            <w:tcBorders>
              <w:top w:val="nil"/>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(15-Mar) Ann. </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1064" w:type="dxa"/>
            <w:tcBorders>
              <w:top w:val="single" w:sz="8" w:space="0" w:color="E5EBF4"/>
              <w:left w:val="nil"/>
              <w:bottom w:val="nil"/>
              <w:right w:val="nil"/>
            </w:tcBorders>
            <w:shd w:val="clear" w:color="000000" w:fill="F2F4F9"/>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3061" w:type="dxa"/>
            <w:tcBorders>
              <w:top w:val="single" w:sz="8" w:space="0" w:color="E5EBF4"/>
              <w:left w:val="nil"/>
              <w:bottom w:val="nil"/>
              <w:right w:val="single" w:sz="8" w:space="0" w:color="CCCCCC"/>
            </w:tcBorders>
            <w:shd w:val="clear" w:color="000000" w:fill="F2F4F9"/>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Buyback</w:t>
            </w:r>
          </w:p>
        </w:tc>
        <w:tc>
          <w:tcPr>
            <w:tcW w:w="130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Adj. Factor 1x</w:t>
            </w:r>
          </w:p>
        </w:tc>
        <w:tc>
          <w:tcPr>
            <w:tcW w:w="1249"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bl>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r>
        <w:rPr>
          <w:rFonts w:asciiTheme="majorBidi" w:hAnsiTheme="majorBidi" w:cstheme="majorBidi"/>
          <w:b/>
          <w:bCs/>
          <w:sz w:val="24"/>
          <w:szCs w:val="24"/>
        </w:rPr>
        <w:lastRenderedPageBreak/>
        <w:t>Appendix F: Balance Sheet of Target – circa 2016, 2017, 2018 – via “</w:t>
      </w:r>
      <w:proofErr w:type="spellStart"/>
      <w:r>
        <w:rPr>
          <w:rFonts w:asciiTheme="majorBidi" w:hAnsiTheme="majorBidi" w:cstheme="majorBidi"/>
          <w:b/>
          <w:bCs/>
          <w:sz w:val="24"/>
          <w:szCs w:val="24"/>
        </w:rPr>
        <w:t>Eikon</w:t>
      </w:r>
      <w:proofErr w:type="spellEnd"/>
      <w:r>
        <w:rPr>
          <w:rFonts w:asciiTheme="majorBidi" w:hAnsiTheme="majorBidi" w:cstheme="majorBidi"/>
          <w:b/>
          <w:bCs/>
          <w:sz w:val="24"/>
          <w:szCs w:val="24"/>
        </w:rPr>
        <w:t>”</w:t>
      </w:r>
    </w:p>
    <w:tbl>
      <w:tblPr>
        <w:tblW w:w="7560" w:type="dxa"/>
        <w:tblLook w:val="04A0" w:firstRow="1" w:lastRow="0" w:firstColumn="1" w:lastColumn="0" w:noHBand="0" w:noVBand="1"/>
      </w:tblPr>
      <w:tblGrid>
        <w:gridCol w:w="4272"/>
        <w:gridCol w:w="1086"/>
        <w:gridCol w:w="1086"/>
        <w:gridCol w:w="1116"/>
      </w:tblGrid>
      <w:tr w:rsidR="00AF3316" w:rsidRPr="00AF3316" w:rsidTr="00AF3316">
        <w:trPr>
          <w:trHeight w:val="420"/>
        </w:trPr>
        <w:tc>
          <w:tcPr>
            <w:tcW w:w="7560" w:type="dxa"/>
            <w:gridSpan w:val="4"/>
            <w:tcBorders>
              <w:top w:val="nil"/>
              <w:left w:val="nil"/>
              <w:bottom w:val="nil"/>
              <w:right w:val="nil"/>
            </w:tcBorders>
            <w:shd w:val="clear" w:color="auto" w:fill="auto"/>
            <w:vAlign w:val="bottom"/>
            <w:hideMark/>
          </w:tcPr>
          <w:p w:rsidR="00AF3316" w:rsidRPr="00AF3316" w:rsidRDefault="00AF3316" w:rsidP="00AF3316">
            <w:pPr>
              <w:spacing w:after="0" w:line="240" w:lineRule="auto"/>
              <w:rPr>
                <w:rFonts w:ascii="Tahoma" w:eastAsia="Times New Roman" w:hAnsi="Tahoma" w:cs="Tahoma"/>
                <w:b/>
                <w:bCs/>
                <w:color w:val="000000"/>
                <w:sz w:val="16"/>
                <w:szCs w:val="16"/>
              </w:rPr>
            </w:pPr>
            <w:r w:rsidRPr="00AF3316">
              <w:rPr>
                <w:rFonts w:ascii="Tahoma" w:eastAsia="Times New Roman" w:hAnsi="Tahoma" w:cs="Tahoma"/>
                <w:b/>
                <w:bCs/>
                <w:color w:val="000000"/>
                <w:sz w:val="16"/>
                <w:szCs w:val="16"/>
              </w:rPr>
              <w:t xml:space="preserve">Target Corp | Balance Sheet | Thomson Reuters </w:t>
            </w:r>
            <w:proofErr w:type="spellStart"/>
            <w:r w:rsidRPr="00AF3316">
              <w:rPr>
                <w:rFonts w:ascii="Tahoma" w:eastAsia="Times New Roman" w:hAnsi="Tahoma" w:cs="Tahoma"/>
                <w:b/>
                <w:bCs/>
                <w:color w:val="000000"/>
                <w:sz w:val="16"/>
                <w:szCs w:val="16"/>
              </w:rPr>
              <w:t>Eikon</w:t>
            </w:r>
            <w:proofErr w:type="spellEnd"/>
            <w:r w:rsidRPr="00AF3316">
              <w:rPr>
                <w:rFonts w:ascii="Tahoma" w:eastAsia="Times New Roman" w:hAnsi="Tahoma" w:cs="Tahoma"/>
                <w:b/>
                <w:bCs/>
                <w:color w:val="000000"/>
                <w:sz w:val="16"/>
                <w:szCs w:val="16"/>
              </w:rPr>
              <w:t xml:space="preserve">                                07-Nov-2018 14:46</w:t>
            </w:r>
          </w:p>
        </w:tc>
      </w:tr>
      <w:tr w:rsidR="00AF3316" w:rsidRPr="00AF3316" w:rsidTr="00AF3316">
        <w:trPr>
          <w:trHeight w:val="288"/>
        </w:trPr>
        <w:tc>
          <w:tcPr>
            <w:tcW w:w="4272"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ahoma" w:eastAsia="Times New Roman" w:hAnsi="Tahoma" w:cs="Tahoma"/>
                <w:b/>
                <w:bCs/>
                <w:color w:val="000000"/>
                <w:sz w:val="16"/>
                <w:szCs w:val="16"/>
              </w:rPr>
            </w:pPr>
          </w:p>
        </w:tc>
        <w:tc>
          <w:tcPr>
            <w:tcW w:w="108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c>
          <w:tcPr>
            <w:tcW w:w="108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288"/>
        </w:trPr>
        <w:tc>
          <w:tcPr>
            <w:tcW w:w="4272"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Balance Sheet</w:t>
            </w:r>
          </w:p>
        </w:tc>
        <w:tc>
          <w:tcPr>
            <w:tcW w:w="108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08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4272"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Annual </w:t>
            </w:r>
            <w:proofErr w:type="spellStart"/>
            <w:r w:rsidRPr="00AF3316">
              <w:rPr>
                <w:rFonts w:ascii="Calibri" w:eastAsia="Times New Roman" w:hAnsi="Calibri" w:cs="Calibri"/>
                <w:color w:val="000000"/>
                <w:sz w:val="20"/>
                <w:szCs w:val="20"/>
              </w:rPr>
              <w:t>Standardised</w:t>
            </w:r>
            <w:proofErr w:type="spellEnd"/>
            <w:r w:rsidRPr="00AF3316">
              <w:rPr>
                <w:rFonts w:ascii="Calibri" w:eastAsia="Times New Roman" w:hAnsi="Calibri" w:cs="Calibri"/>
                <w:color w:val="000000"/>
                <w:sz w:val="20"/>
                <w:szCs w:val="20"/>
              </w:rPr>
              <w:t xml:space="preserve"> in Millions of U.S. Dollars</w:t>
            </w:r>
          </w:p>
        </w:tc>
        <w:tc>
          <w:tcPr>
            <w:tcW w:w="108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
        </w:tc>
        <w:tc>
          <w:tcPr>
            <w:tcW w:w="108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rsidR="00AF3316" w:rsidRPr="00AF3316" w:rsidRDefault="00AF3316" w:rsidP="00AF3316">
            <w:pPr>
              <w:spacing w:after="0" w:line="240" w:lineRule="auto"/>
              <w:rPr>
                <w:rFonts w:ascii="Times New Roman" w:eastAsia="Times New Roman" w:hAnsi="Times New Roman" w:cs="Times New Roman"/>
                <w:sz w:val="20"/>
                <w:szCs w:val="20"/>
              </w:rPr>
            </w:pPr>
          </w:p>
        </w:tc>
      </w:tr>
      <w:tr w:rsidR="00AF3316" w:rsidRPr="00AF3316" w:rsidTr="00AF3316">
        <w:trPr>
          <w:trHeight w:val="300"/>
        </w:trPr>
        <w:tc>
          <w:tcPr>
            <w:tcW w:w="4272" w:type="dxa"/>
            <w:tcBorders>
              <w:top w:val="single" w:sz="8" w:space="0" w:color="FFFFFF"/>
              <w:left w:val="single" w:sz="8" w:space="0" w:color="FFFFFF"/>
              <w:bottom w:val="single" w:sz="8" w:space="0" w:color="FFFFFF"/>
              <w:right w:val="single" w:sz="8" w:space="0" w:color="FFFFFF"/>
            </w:tcBorders>
            <w:shd w:val="clear" w:color="000000" w:fill="ABC4EA"/>
            <w:noWrap/>
            <w:vAlign w:val="bottom"/>
            <w:hideMark/>
          </w:tcPr>
          <w:p w:rsidR="00AF3316" w:rsidRPr="00AF3316" w:rsidRDefault="00AF3316" w:rsidP="00AF3316">
            <w:pPr>
              <w:spacing w:after="0" w:line="240" w:lineRule="auto"/>
              <w:rPr>
                <w:rFonts w:ascii="Calibri" w:eastAsia="Times New Roman" w:hAnsi="Calibri" w:cs="Calibri"/>
                <w:b/>
                <w:bCs/>
                <w:color w:val="000000"/>
                <w:sz w:val="20"/>
                <w:szCs w:val="20"/>
              </w:rPr>
            </w:pPr>
            <w:r w:rsidRPr="00AF3316">
              <w:rPr>
                <w:rFonts w:ascii="Calibri" w:eastAsia="Times New Roman" w:hAnsi="Calibri" w:cs="Calibri"/>
                <w:b/>
                <w:bCs/>
                <w:color w:val="000000"/>
                <w:sz w:val="20"/>
                <w:szCs w:val="20"/>
              </w:rPr>
              <w:t> </w:t>
            </w:r>
          </w:p>
        </w:tc>
        <w:tc>
          <w:tcPr>
            <w:tcW w:w="1086" w:type="dxa"/>
            <w:tcBorders>
              <w:top w:val="single" w:sz="8" w:space="0" w:color="FFFFFF"/>
              <w:left w:val="nil"/>
              <w:bottom w:val="single" w:sz="8" w:space="0" w:color="FFFFFF"/>
              <w:right w:val="single" w:sz="8" w:space="0" w:color="FFFFFF"/>
            </w:tcBorders>
            <w:shd w:val="clear" w:color="000000" w:fill="ABC4EA"/>
            <w:noWrap/>
            <w:vAlign w:val="bottom"/>
            <w:hideMark/>
          </w:tcPr>
          <w:p w:rsidR="00AF3316" w:rsidRPr="00AF3316" w:rsidRDefault="00AF3316" w:rsidP="00AF3316">
            <w:pPr>
              <w:spacing w:after="0" w:line="240" w:lineRule="auto"/>
              <w:jc w:val="right"/>
              <w:rPr>
                <w:rFonts w:ascii="Calibri" w:eastAsia="Times New Roman" w:hAnsi="Calibri" w:cs="Calibri"/>
                <w:b/>
                <w:bCs/>
                <w:color w:val="000000"/>
                <w:sz w:val="20"/>
                <w:szCs w:val="20"/>
              </w:rPr>
            </w:pPr>
            <w:r w:rsidRPr="00AF3316">
              <w:rPr>
                <w:rFonts w:ascii="Calibri" w:eastAsia="Times New Roman" w:hAnsi="Calibri" w:cs="Calibri"/>
                <w:b/>
                <w:bCs/>
                <w:color w:val="000000"/>
                <w:sz w:val="20"/>
                <w:szCs w:val="20"/>
              </w:rPr>
              <w:t>2016</w:t>
            </w:r>
          </w:p>
        </w:tc>
        <w:tc>
          <w:tcPr>
            <w:tcW w:w="1086" w:type="dxa"/>
            <w:tcBorders>
              <w:top w:val="single" w:sz="8" w:space="0" w:color="FFFFFF"/>
              <w:left w:val="nil"/>
              <w:bottom w:val="single" w:sz="8" w:space="0" w:color="FFFFFF"/>
              <w:right w:val="single" w:sz="8" w:space="0" w:color="FFFFFF"/>
            </w:tcBorders>
            <w:shd w:val="clear" w:color="000000" w:fill="ABC4EA"/>
            <w:noWrap/>
            <w:vAlign w:val="bottom"/>
            <w:hideMark/>
          </w:tcPr>
          <w:p w:rsidR="00AF3316" w:rsidRPr="00AF3316" w:rsidRDefault="00AF3316" w:rsidP="00AF3316">
            <w:pPr>
              <w:spacing w:after="0" w:line="240" w:lineRule="auto"/>
              <w:jc w:val="right"/>
              <w:rPr>
                <w:rFonts w:ascii="Calibri" w:eastAsia="Times New Roman" w:hAnsi="Calibri" w:cs="Calibri"/>
                <w:b/>
                <w:bCs/>
                <w:color w:val="000000"/>
                <w:sz w:val="20"/>
                <w:szCs w:val="20"/>
              </w:rPr>
            </w:pPr>
            <w:r w:rsidRPr="00AF3316">
              <w:rPr>
                <w:rFonts w:ascii="Calibri" w:eastAsia="Times New Roman" w:hAnsi="Calibri" w:cs="Calibri"/>
                <w:b/>
                <w:bCs/>
                <w:color w:val="000000"/>
                <w:sz w:val="20"/>
                <w:szCs w:val="20"/>
              </w:rPr>
              <w:t>2017</w:t>
            </w:r>
          </w:p>
        </w:tc>
        <w:tc>
          <w:tcPr>
            <w:tcW w:w="1116" w:type="dxa"/>
            <w:tcBorders>
              <w:top w:val="single" w:sz="8" w:space="0" w:color="FFFFFF"/>
              <w:left w:val="nil"/>
              <w:bottom w:val="single" w:sz="8" w:space="0" w:color="FFFFFF"/>
              <w:right w:val="single" w:sz="8" w:space="0" w:color="FFFFFF"/>
            </w:tcBorders>
            <w:shd w:val="clear" w:color="000000" w:fill="ABC4EA"/>
            <w:noWrap/>
            <w:vAlign w:val="bottom"/>
            <w:hideMark/>
          </w:tcPr>
          <w:p w:rsidR="00AF3316" w:rsidRPr="00AF3316" w:rsidRDefault="00AF3316" w:rsidP="00AF3316">
            <w:pPr>
              <w:spacing w:after="0" w:line="240" w:lineRule="auto"/>
              <w:jc w:val="right"/>
              <w:rPr>
                <w:rFonts w:ascii="Calibri" w:eastAsia="Times New Roman" w:hAnsi="Calibri" w:cs="Calibri"/>
                <w:b/>
                <w:bCs/>
                <w:color w:val="000000"/>
                <w:sz w:val="20"/>
                <w:szCs w:val="20"/>
              </w:rPr>
            </w:pPr>
            <w:r w:rsidRPr="00AF3316">
              <w:rPr>
                <w:rFonts w:ascii="Calibri" w:eastAsia="Times New Roman" w:hAnsi="Calibri" w:cs="Calibri"/>
                <w:b/>
                <w:bCs/>
                <w:color w:val="000000"/>
                <w:sz w:val="20"/>
                <w:szCs w:val="20"/>
              </w:rPr>
              <w:t>2018</w:t>
            </w:r>
          </w:p>
        </w:tc>
      </w:tr>
      <w:tr w:rsidR="00AF3316" w:rsidRPr="00AF3316" w:rsidTr="00AF3316">
        <w:trPr>
          <w:trHeight w:val="285"/>
        </w:trPr>
        <w:tc>
          <w:tcPr>
            <w:tcW w:w="4272" w:type="dxa"/>
            <w:tcBorders>
              <w:top w:val="single" w:sz="8" w:space="0" w:color="C1C1C1"/>
              <w:left w:val="nil"/>
              <w:bottom w:val="single" w:sz="8" w:space="0" w:color="C1C1C1"/>
              <w:right w:val="single" w:sz="8" w:space="0" w:color="CCCCCC"/>
            </w:tcBorders>
            <w:shd w:val="clear" w:color="000000" w:fill="F5F6FA"/>
            <w:noWrap/>
            <w:vAlign w:val="bottom"/>
            <w:hideMark/>
          </w:tcPr>
          <w:p w:rsidR="00AF3316" w:rsidRPr="00AF3316" w:rsidRDefault="00AF3316" w:rsidP="00AF3316">
            <w:pPr>
              <w:spacing w:after="0" w:line="240" w:lineRule="auto"/>
              <w:rPr>
                <w:rFonts w:ascii="Calibri" w:eastAsia="Times New Roman" w:hAnsi="Calibri" w:cs="Calibri"/>
                <w:b/>
                <w:bCs/>
                <w:color w:val="000000"/>
              </w:rPr>
            </w:pPr>
            <w:r w:rsidRPr="00AF3316">
              <w:rPr>
                <w:rFonts w:ascii="Calibri" w:eastAsia="Times New Roman" w:hAnsi="Calibri" w:cs="Calibri"/>
                <w:b/>
                <w:bCs/>
                <w:color w:val="000000"/>
              </w:rPr>
              <w:t>Earnings Quality Score</w:t>
            </w:r>
          </w:p>
        </w:tc>
        <w:tc>
          <w:tcPr>
            <w:tcW w:w="1086" w:type="dxa"/>
            <w:tcBorders>
              <w:top w:val="single" w:sz="8" w:space="0" w:color="C1C1C1"/>
              <w:left w:val="nil"/>
              <w:bottom w:val="single" w:sz="8" w:space="0" w:color="C1C1C1"/>
              <w:right w:val="nil"/>
            </w:tcBorders>
            <w:shd w:val="clear" w:color="000000" w:fill="309724"/>
            <w:noWrap/>
            <w:hideMark/>
          </w:tcPr>
          <w:p w:rsidR="00AF3316" w:rsidRPr="00AF3316" w:rsidRDefault="00AF3316" w:rsidP="00AF3316">
            <w:pPr>
              <w:spacing w:after="0" w:line="240" w:lineRule="auto"/>
              <w:jc w:val="center"/>
              <w:rPr>
                <w:rFonts w:ascii="Calibri" w:eastAsia="Times New Roman" w:hAnsi="Calibri" w:cs="Calibri"/>
                <w:b/>
                <w:bCs/>
                <w:color w:val="FFFFFF"/>
              </w:rPr>
            </w:pPr>
            <w:r w:rsidRPr="00AF3316">
              <w:rPr>
                <w:rFonts w:ascii="Calibri" w:eastAsia="Times New Roman" w:hAnsi="Calibri" w:cs="Calibri"/>
                <w:b/>
                <w:bCs/>
                <w:color w:val="FFFFFF"/>
              </w:rPr>
              <w:t>98 </w:t>
            </w:r>
          </w:p>
        </w:tc>
        <w:tc>
          <w:tcPr>
            <w:tcW w:w="1086" w:type="dxa"/>
            <w:tcBorders>
              <w:top w:val="single" w:sz="8" w:space="0" w:color="C1C1C1"/>
              <w:left w:val="nil"/>
              <w:bottom w:val="single" w:sz="8" w:space="0" w:color="C1C1C1"/>
              <w:right w:val="nil"/>
            </w:tcBorders>
            <w:shd w:val="clear" w:color="000000" w:fill="E0E0E0"/>
            <w:noWrap/>
            <w:hideMark/>
          </w:tcPr>
          <w:p w:rsidR="00AF3316" w:rsidRPr="00AF3316" w:rsidRDefault="00AF3316" w:rsidP="00AF3316">
            <w:pPr>
              <w:spacing w:after="0" w:line="240" w:lineRule="auto"/>
              <w:jc w:val="center"/>
              <w:rPr>
                <w:rFonts w:ascii="Calibri" w:eastAsia="Times New Roman" w:hAnsi="Calibri" w:cs="Calibri"/>
                <w:b/>
                <w:bCs/>
                <w:color w:val="333333"/>
              </w:rPr>
            </w:pPr>
            <w:r w:rsidRPr="00AF3316">
              <w:rPr>
                <w:rFonts w:ascii="Calibri" w:eastAsia="Times New Roman" w:hAnsi="Calibri" w:cs="Calibri"/>
                <w:b/>
                <w:bCs/>
                <w:color w:val="333333"/>
              </w:rPr>
              <w:t>65 </w:t>
            </w:r>
          </w:p>
        </w:tc>
        <w:tc>
          <w:tcPr>
            <w:tcW w:w="1116" w:type="dxa"/>
            <w:tcBorders>
              <w:top w:val="single" w:sz="8" w:space="0" w:color="C1C1C1"/>
              <w:left w:val="nil"/>
              <w:bottom w:val="single" w:sz="8" w:space="0" w:color="C1C1C1"/>
              <w:right w:val="nil"/>
            </w:tcBorders>
            <w:shd w:val="clear" w:color="000000" w:fill="309724"/>
            <w:noWrap/>
            <w:hideMark/>
          </w:tcPr>
          <w:p w:rsidR="00AF3316" w:rsidRPr="00AF3316" w:rsidRDefault="00AF3316" w:rsidP="00AF3316">
            <w:pPr>
              <w:spacing w:after="0" w:line="240" w:lineRule="auto"/>
              <w:jc w:val="center"/>
              <w:rPr>
                <w:rFonts w:ascii="Calibri" w:eastAsia="Times New Roman" w:hAnsi="Calibri" w:cs="Calibri"/>
                <w:b/>
                <w:bCs/>
                <w:color w:val="FFFFFF"/>
              </w:rPr>
            </w:pPr>
            <w:r w:rsidRPr="00AF3316">
              <w:rPr>
                <w:rFonts w:ascii="Calibri" w:eastAsia="Times New Roman" w:hAnsi="Calibri" w:cs="Calibri"/>
                <w:b/>
                <w:bCs/>
                <w:color w:val="FFFFFF"/>
              </w:rPr>
              <w:t>91 </w:t>
            </w:r>
          </w:p>
        </w:tc>
      </w:tr>
      <w:tr w:rsidR="00AF3316" w:rsidRPr="00AF3316" w:rsidTr="00AF3316">
        <w:trPr>
          <w:trHeight w:val="288"/>
        </w:trPr>
        <w:tc>
          <w:tcPr>
            <w:tcW w:w="4272" w:type="dxa"/>
            <w:tcBorders>
              <w:top w:val="single" w:sz="8" w:space="0" w:color="E5EBF4"/>
              <w:left w:val="nil"/>
              <w:bottom w:val="nil"/>
              <w:right w:val="single" w:sz="8" w:space="0" w:color="CCCCCC"/>
            </w:tcBorders>
            <w:shd w:val="clear" w:color="000000" w:fill="F5F6FA"/>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Period End Date</w:t>
            </w:r>
          </w:p>
        </w:tc>
        <w:tc>
          <w:tcPr>
            <w:tcW w:w="1086" w:type="dxa"/>
            <w:tcBorders>
              <w:top w:val="single" w:sz="8" w:space="0" w:color="E5EBF4"/>
              <w:left w:val="nil"/>
              <w:bottom w:val="nil"/>
              <w:right w:val="nil"/>
            </w:tcBorders>
            <w:shd w:val="clear" w:color="000000" w:fill="F5F6FA"/>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30-Jan-2016 </w:t>
            </w:r>
          </w:p>
        </w:tc>
        <w:tc>
          <w:tcPr>
            <w:tcW w:w="1086" w:type="dxa"/>
            <w:tcBorders>
              <w:top w:val="single" w:sz="8" w:space="0" w:color="E5EBF4"/>
              <w:left w:val="nil"/>
              <w:bottom w:val="nil"/>
              <w:right w:val="nil"/>
            </w:tcBorders>
            <w:shd w:val="clear" w:color="000000" w:fill="F5F6FA"/>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28-Jan-2017 </w:t>
            </w:r>
          </w:p>
        </w:tc>
        <w:tc>
          <w:tcPr>
            <w:tcW w:w="1116" w:type="dxa"/>
            <w:tcBorders>
              <w:top w:val="single" w:sz="8" w:space="0" w:color="E5EBF4"/>
              <w:left w:val="nil"/>
              <w:bottom w:val="nil"/>
              <w:right w:val="nil"/>
            </w:tcBorders>
            <w:shd w:val="clear" w:color="000000" w:fill="F5F6FA"/>
            <w:noWrap/>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03-Feb-2018 </w:t>
            </w:r>
          </w:p>
        </w:tc>
      </w:tr>
      <w:tr w:rsidR="00AF3316" w:rsidRPr="00AF3316" w:rsidTr="00AF3316">
        <w:trPr>
          <w:trHeight w:val="240"/>
        </w:trPr>
        <w:tc>
          <w:tcPr>
            <w:tcW w:w="4272"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Assets ($ Millions)</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Cash and Short Term Investments</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4,046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2,512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2,643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Cash &amp; Equivalents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1,038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1,402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737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Short Term Investments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3,008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1,110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1,906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Receivables, Net</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779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749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Receivables - Other</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779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749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Inventory</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8,601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8,309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8,597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Prepaid Expenses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214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207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Current Assets, Total</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490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213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1,300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proofErr w:type="spellStart"/>
            <w:r w:rsidRPr="00AF3316">
              <w:rPr>
                <w:rFonts w:ascii="Calibri" w:eastAsia="Times New Roman" w:hAnsi="Calibri" w:cs="Calibri"/>
                <w:color w:val="000000"/>
                <w:sz w:val="20"/>
                <w:szCs w:val="20"/>
              </w:rPr>
              <w:t>Discountinued</w:t>
            </w:r>
            <w:proofErr w:type="spellEnd"/>
            <w:r w:rsidRPr="00AF3316">
              <w:rPr>
                <w:rFonts w:ascii="Calibri" w:eastAsia="Times New Roman" w:hAnsi="Calibri" w:cs="Calibri"/>
                <w:color w:val="000000"/>
                <w:sz w:val="20"/>
                <w:szCs w:val="20"/>
              </w:rPr>
              <w:t xml:space="preserve"> Operations - Current Asset</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322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69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Current Assets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168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144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1,300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Current Assets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14,130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11,990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12,540 </w:t>
            </w:r>
          </w:p>
        </w:tc>
      </w:tr>
      <w:tr w:rsidR="00AF3316" w:rsidRPr="00AF3316" w:rsidTr="00AF3316">
        <w:trPr>
          <w:trHeight w:val="300"/>
        </w:trPr>
        <w:tc>
          <w:tcPr>
            <w:tcW w:w="4272"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Property/Plant/Equipment, Total - Gross</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41,463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42,071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42,934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Buildings - Gross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27,059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27,611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28,131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Land/Improvements - Gross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6,125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6,106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6,095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Machinery/Equipment - Gross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2,617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2,651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2,645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Construction in Progress - Gross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315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200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440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Property/Plant/Equipment - Gross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5,347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5,503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5,623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Property/Plant/Equipment, Total - Net</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25,217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24,658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24,536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Accumulated Depreciation, Total</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(16,246)</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(17,413)</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(18,398)</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Goodwill, Net</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133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133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Intangibles, Net</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145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126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Intangibles - Gross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299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296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Accumulated Intangible Amortization</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(154)</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(170)</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Long Term Assets, Total</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637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524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3,227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Pension Benefits - Overfunded</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66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43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Discontinued Operations - LT Asset</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75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Long Term Assets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496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469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3,227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Assets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40,262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37,431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40,303 </w:t>
            </w:r>
          </w:p>
        </w:tc>
      </w:tr>
      <w:tr w:rsidR="00AF3316" w:rsidRPr="00AF3316" w:rsidTr="00AF3316">
        <w:trPr>
          <w:trHeight w:val="288"/>
        </w:trPr>
        <w:tc>
          <w:tcPr>
            <w:tcW w:w="4272"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240"/>
        </w:trPr>
        <w:tc>
          <w:tcPr>
            <w:tcW w:w="4272"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Liabilities ($ Millions)</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Accounts Payable</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7,418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7,252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8,677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Accrued Expenses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2,677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2,481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4,094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Notes Payable/Short Term Debt</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lastRenderedPageBreak/>
              <w:t>Current Port. of LT Debt/Capital Leases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815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1,718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281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Current liabilities, Total</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1,712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1,257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Dividends Payable</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337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334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Income Taxes Payable</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502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158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Payables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76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71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Discontinued Operations - </w:t>
            </w:r>
            <w:proofErr w:type="spellStart"/>
            <w:r w:rsidRPr="00AF3316">
              <w:rPr>
                <w:rFonts w:ascii="Calibri" w:eastAsia="Times New Roman" w:hAnsi="Calibri" w:cs="Calibri"/>
                <w:color w:val="000000"/>
                <w:sz w:val="20"/>
                <w:szCs w:val="20"/>
              </w:rPr>
              <w:t>Curr</w:t>
            </w:r>
            <w:proofErr w:type="spellEnd"/>
            <w:r w:rsidRPr="00AF3316">
              <w:rPr>
                <w:rFonts w:ascii="Calibri" w:eastAsia="Times New Roman" w:hAnsi="Calibri" w:cs="Calibri"/>
                <w:color w:val="000000"/>
                <w:sz w:val="20"/>
                <w:szCs w:val="20"/>
              </w:rPr>
              <w:t xml:space="preserve"> Liability</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153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Current Liabilities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644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693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Current Liabilities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12,622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12,708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13,052 </w:t>
            </w:r>
          </w:p>
        </w:tc>
      </w:tr>
      <w:tr w:rsidR="00AF3316" w:rsidRPr="00AF3316" w:rsidTr="00AF3316">
        <w:trPr>
          <w:trHeight w:val="300"/>
        </w:trPr>
        <w:tc>
          <w:tcPr>
            <w:tcW w:w="4272"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Long Term Debt</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11,945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11,031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11,117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Long Term Debt</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11,945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11,031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10,232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Capital Lease Obligations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885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Debt</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12,760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12,749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11,398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Deferred Income Tax</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823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861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693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Deferred Income Tax - LT Liability</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823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861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693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Liabilities, Total</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1,915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1,878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3,790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Pension Benefits - Underfunded</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54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Long Term Liabilities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1,843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1,814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3,790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Discontinued Operations - Liabilities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Liabilities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27,305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26,478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28,652 </w:t>
            </w:r>
          </w:p>
        </w:tc>
      </w:tr>
      <w:tr w:rsidR="00AF3316" w:rsidRPr="00AF3316" w:rsidTr="00AF3316">
        <w:trPr>
          <w:trHeight w:val="288"/>
        </w:trPr>
        <w:tc>
          <w:tcPr>
            <w:tcW w:w="4272"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240"/>
        </w:trPr>
        <w:tc>
          <w:tcPr>
            <w:tcW w:w="4272"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roofErr w:type="spellStart"/>
            <w:r w:rsidRPr="00AF3316">
              <w:rPr>
                <w:rFonts w:ascii="Calibri" w:eastAsia="Times New Roman" w:hAnsi="Calibri" w:cs="Calibri"/>
                <w:color w:val="000000"/>
                <w:sz w:val="20"/>
                <w:szCs w:val="20"/>
              </w:rPr>
              <w:t>Shareholders</w:t>
            </w:r>
            <w:proofErr w:type="spellEnd"/>
            <w:r w:rsidRPr="00AF3316">
              <w:rPr>
                <w:rFonts w:ascii="Calibri" w:eastAsia="Times New Roman" w:hAnsi="Calibri" w:cs="Calibri"/>
                <w:color w:val="000000"/>
                <w:sz w:val="20"/>
                <w:szCs w:val="20"/>
              </w:rPr>
              <w:t xml:space="preserve"> Equity ($ Millions)</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Common Stock, Total</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50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45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Common Stock</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50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46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45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Additional Paid-In Capital</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5,348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5,661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5,858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Retained Earnings (Accumulated Deficit)</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8,188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5,884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6,495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Equity, Total</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(629)</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(638)</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(747)</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Translation Adjustment</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(41)</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(37)</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(13)</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Minimum Pension Liability Adjustment</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(588)</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(601)</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(720)</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Comprehensive Income</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(14)</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Equity</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12,957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10,953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11,651 </w:t>
            </w:r>
          </w:p>
        </w:tc>
      </w:tr>
      <w:tr w:rsidR="00AF3316" w:rsidRPr="00AF3316" w:rsidTr="00AF3316">
        <w:trPr>
          <w:trHeight w:val="300"/>
        </w:trPr>
        <w:tc>
          <w:tcPr>
            <w:tcW w:w="4272"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Liabilities &amp; Shareholders' Equity</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40,262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37,431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40,303 </w:t>
            </w:r>
          </w:p>
        </w:tc>
      </w:tr>
      <w:tr w:rsidR="00AF3316" w:rsidRPr="00AF3316" w:rsidTr="00AF3316">
        <w:trPr>
          <w:trHeight w:val="288"/>
        </w:trPr>
        <w:tc>
          <w:tcPr>
            <w:tcW w:w="4272"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240"/>
        </w:trPr>
        <w:tc>
          <w:tcPr>
            <w:tcW w:w="4272"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Supplemental ($ Millions)</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Common Shares Outstanding</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602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556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542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Shares Outs - Common Stock Primary Issue</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602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556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542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roofErr w:type="spellStart"/>
            <w:r w:rsidRPr="00AF3316">
              <w:rPr>
                <w:rFonts w:ascii="Calibri" w:eastAsia="Times New Roman" w:hAnsi="Calibri" w:cs="Calibri"/>
                <w:color w:val="000000"/>
                <w:sz w:val="20"/>
                <w:szCs w:val="20"/>
              </w:rPr>
              <w:t>Treas</w:t>
            </w:r>
            <w:proofErr w:type="spellEnd"/>
            <w:r w:rsidRPr="00AF3316">
              <w:rPr>
                <w:rFonts w:ascii="Calibri" w:eastAsia="Times New Roman" w:hAnsi="Calibri" w:cs="Calibri"/>
                <w:color w:val="000000"/>
                <w:sz w:val="20"/>
                <w:szCs w:val="20"/>
              </w:rPr>
              <w:t xml:space="preserve"> Shares - Common Stock </w:t>
            </w:r>
            <w:proofErr w:type="spellStart"/>
            <w:r w:rsidRPr="00AF3316">
              <w:rPr>
                <w:rFonts w:ascii="Calibri" w:eastAsia="Times New Roman" w:hAnsi="Calibri" w:cs="Calibri"/>
                <w:color w:val="000000"/>
                <w:sz w:val="20"/>
                <w:szCs w:val="20"/>
              </w:rPr>
              <w:t>Prmry</w:t>
            </w:r>
            <w:proofErr w:type="spellEnd"/>
            <w:r w:rsidRPr="00AF3316">
              <w:rPr>
                <w:rFonts w:ascii="Calibri" w:eastAsia="Times New Roman" w:hAnsi="Calibri" w:cs="Calibri"/>
                <w:color w:val="000000"/>
                <w:sz w:val="20"/>
                <w:szCs w:val="20"/>
              </w:rPr>
              <w:t xml:space="preserve"> Issue</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Equity &amp; Minority Interest</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12,957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10,953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11,651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Full-Time Employees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341,000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323,000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345,000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Number of Common Shareholders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15,416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15,067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14,710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Goodwill - Net</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133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133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Accumulated Intangible </w:t>
            </w:r>
            <w:proofErr w:type="spellStart"/>
            <w:r w:rsidRPr="00AF3316">
              <w:rPr>
                <w:rFonts w:ascii="Calibri" w:eastAsia="Times New Roman" w:hAnsi="Calibri" w:cs="Calibri"/>
                <w:color w:val="000000"/>
                <w:sz w:val="20"/>
                <w:szCs w:val="20"/>
              </w:rPr>
              <w:t>Amort</w:t>
            </w:r>
            <w:proofErr w:type="spellEnd"/>
            <w:r w:rsidRPr="00AF3316">
              <w:rPr>
                <w:rFonts w:ascii="Calibri" w:eastAsia="Times New Roman" w:hAnsi="Calibri" w:cs="Calibri"/>
                <w:color w:val="000000"/>
                <w:sz w:val="20"/>
                <w:szCs w:val="20"/>
              </w:rPr>
              <w:t>, Suppl.</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154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170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Deferred Revenue - Long Term</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660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630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proofErr w:type="spellStart"/>
            <w:r w:rsidRPr="00AF3316">
              <w:rPr>
                <w:rFonts w:ascii="Calibri" w:eastAsia="Times New Roman" w:hAnsi="Calibri" w:cs="Calibri"/>
                <w:color w:val="000000"/>
                <w:sz w:val="20"/>
                <w:szCs w:val="20"/>
              </w:rPr>
              <w:lastRenderedPageBreak/>
              <w:t>Curr</w:t>
            </w:r>
            <w:proofErr w:type="spellEnd"/>
            <w:r w:rsidRPr="00AF3316">
              <w:rPr>
                <w:rFonts w:ascii="Calibri" w:eastAsia="Times New Roman" w:hAnsi="Calibri" w:cs="Calibri"/>
                <w:color w:val="000000"/>
                <w:sz w:val="20"/>
                <w:szCs w:val="20"/>
              </w:rPr>
              <w:t xml:space="preserve"> Derivative </w:t>
            </w:r>
            <w:proofErr w:type="spellStart"/>
            <w:r w:rsidRPr="00AF3316">
              <w:rPr>
                <w:rFonts w:ascii="Calibri" w:eastAsia="Times New Roman" w:hAnsi="Calibri" w:cs="Calibri"/>
                <w:color w:val="000000"/>
                <w:sz w:val="20"/>
                <w:szCs w:val="20"/>
              </w:rPr>
              <w:t>Liab</w:t>
            </w:r>
            <w:proofErr w:type="spellEnd"/>
            <w:r w:rsidRPr="00AF3316">
              <w:rPr>
                <w:rFonts w:ascii="Calibri" w:eastAsia="Times New Roman" w:hAnsi="Calibri" w:cs="Calibri"/>
                <w:color w:val="000000"/>
                <w:sz w:val="20"/>
                <w:szCs w:val="20"/>
              </w:rPr>
              <w:t>. Hedging, Suppl.</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Non-</w:t>
            </w:r>
            <w:proofErr w:type="spellStart"/>
            <w:r w:rsidRPr="00AF3316">
              <w:rPr>
                <w:rFonts w:ascii="Calibri" w:eastAsia="Times New Roman" w:hAnsi="Calibri" w:cs="Calibri"/>
                <w:color w:val="000000"/>
                <w:sz w:val="20"/>
                <w:szCs w:val="20"/>
              </w:rPr>
              <w:t>Curr</w:t>
            </w:r>
            <w:proofErr w:type="spellEnd"/>
            <w:r w:rsidRPr="00AF3316">
              <w:rPr>
                <w:rFonts w:ascii="Calibri" w:eastAsia="Times New Roman" w:hAnsi="Calibri" w:cs="Calibri"/>
                <w:color w:val="000000"/>
                <w:sz w:val="20"/>
                <w:szCs w:val="20"/>
              </w:rPr>
              <w:t xml:space="preserve"> Derivative </w:t>
            </w:r>
            <w:proofErr w:type="spellStart"/>
            <w:r w:rsidRPr="00AF3316">
              <w:rPr>
                <w:rFonts w:ascii="Calibri" w:eastAsia="Times New Roman" w:hAnsi="Calibri" w:cs="Calibri"/>
                <w:color w:val="000000"/>
                <w:sz w:val="20"/>
                <w:szCs w:val="20"/>
              </w:rPr>
              <w:t>Liab</w:t>
            </w:r>
            <w:proofErr w:type="spellEnd"/>
            <w:r w:rsidRPr="00AF3316">
              <w:rPr>
                <w:rFonts w:ascii="Calibri" w:eastAsia="Times New Roman" w:hAnsi="Calibri" w:cs="Calibri"/>
                <w:color w:val="000000"/>
                <w:sz w:val="20"/>
                <w:szCs w:val="20"/>
              </w:rPr>
              <w:t xml:space="preserve">. Hedging, </w:t>
            </w:r>
            <w:proofErr w:type="spellStart"/>
            <w:r w:rsidRPr="00AF3316">
              <w:rPr>
                <w:rFonts w:ascii="Calibri" w:eastAsia="Times New Roman" w:hAnsi="Calibri" w:cs="Calibri"/>
                <w:color w:val="000000"/>
                <w:sz w:val="20"/>
                <w:szCs w:val="20"/>
              </w:rPr>
              <w:t>Suppl</w:t>
            </w:r>
            <w:proofErr w:type="spellEnd"/>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Current Assets less Inventory</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5,529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3,681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3,943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Net Debt Incl. </w:t>
            </w:r>
            <w:proofErr w:type="spellStart"/>
            <w:r w:rsidRPr="00AF3316">
              <w:rPr>
                <w:rFonts w:ascii="Calibri" w:eastAsia="Times New Roman" w:hAnsi="Calibri" w:cs="Calibri"/>
                <w:color w:val="000000"/>
                <w:sz w:val="20"/>
                <w:szCs w:val="20"/>
              </w:rPr>
              <w:t>Pref.Stock</w:t>
            </w:r>
            <w:proofErr w:type="spellEnd"/>
            <w:r w:rsidRPr="00AF3316">
              <w:rPr>
                <w:rFonts w:ascii="Calibri" w:eastAsia="Times New Roman" w:hAnsi="Calibri" w:cs="Calibri"/>
                <w:color w:val="000000"/>
                <w:sz w:val="20"/>
                <w:szCs w:val="20"/>
              </w:rPr>
              <w:t xml:space="preserve"> &amp; </w:t>
            </w:r>
            <w:proofErr w:type="spellStart"/>
            <w:r w:rsidRPr="00AF3316">
              <w:rPr>
                <w:rFonts w:ascii="Calibri" w:eastAsia="Times New Roman" w:hAnsi="Calibri" w:cs="Calibri"/>
                <w:color w:val="000000"/>
                <w:sz w:val="20"/>
                <w:szCs w:val="20"/>
              </w:rPr>
              <w:t>Min.Interest</w:t>
            </w:r>
            <w:proofErr w:type="spellEnd"/>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8,714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10,237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8,755 </w:t>
            </w:r>
          </w:p>
        </w:tc>
      </w:tr>
      <w:tr w:rsidR="00AF3316" w:rsidRPr="00AF3316" w:rsidTr="00AF3316">
        <w:trPr>
          <w:trHeight w:val="288"/>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Tangible Book Value, Common Equity</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12,679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10,694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11,651 </w:t>
            </w:r>
          </w:p>
        </w:tc>
      </w:tr>
      <w:tr w:rsidR="00AF3316" w:rsidRPr="00AF3316" w:rsidTr="00AF3316">
        <w:trPr>
          <w:trHeight w:val="240"/>
        </w:trPr>
        <w:tc>
          <w:tcPr>
            <w:tcW w:w="4272"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Debt &amp; Lease, Pension Items ($ Millions)</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08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c>
          <w:tcPr>
            <w:tcW w:w="1116" w:type="dxa"/>
            <w:tcBorders>
              <w:top w:val="nil"/>
              <w:left w:val="nil"/>
              <w:bottom w:val="nil"/>
              <w:right w:val="nil"/>
            </w:tcBorders>
            <w:shd w:val="clear" w:color="000000" w:fill="C8D7DE"/>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 </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Long Term Debt, Supplemental</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5,298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11,814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Long Term Debt Maturing within 1 Year</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751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1,683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Long Term Debt Maturing in Year 2</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2,251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201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Long Term Debt Maturing in Year 3</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201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1,002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Long Term Debt Maturing in Year 4</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1,001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1,094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Long Term Debt Maturing in Year 5</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1,094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1,056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Long Term Debt Maturing in 2-3 Years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2,452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1,203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Long Term Debt Maturing in 4-5 Years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2,095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2,150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Long Term Debt </w:t>
            </w:r>
            <w:proofErr w:type="spellStart"/>
            <w:r w:rsidRPr="00AF3316">
              <w:rPr>
                <w:rFonts w:ascii="Calibri" w:eastAsia="Times New Roman" w:hAnsi="Calibri" w:cs="Calibri"/>
                <w:color w:val="000000"/>
                <w:sz w:val="20"/>
                <w:szCs w:val="20"/>
              </w:rPr>
              <w:t>Matur</w:t>
            </w:r>
            <w:proofErr w:type="spellEnd"/>
            <w:r w:rsidRPr="00AF3316">
              <w:rPr>
                <w:rFonts w:ascii="Calibri" w:eastAsia="Times New Roman" w:hAnsi="Calibri" w:cs="Calibri"/>
                <w:color w:val="000000"/>
                <w:sz w:val="20"/>
                <w:szCs w:val="20"/>
              </w:rPr>
              <w:t>. in Year 6 &amp; Beyond</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0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6,778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Capital Leases, Supplemental</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859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1,025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Interest Costs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(831)</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(938)</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Capital Lease Payments Due in Year 1</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130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82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Capital Lease Payments Due in Year 2</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73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86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Capital Lease Payments Due in Year 3</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71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88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Capital Lease Payments Due in Year 4</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70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89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Capital Lease Payments Due in Year 5</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69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89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Capital Lease Payments Due in 2-3 Years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144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174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Capital Lease Payments Due in 4-5 Years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139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178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Cap. Lease </w:t>
            </w:r>
            <w:proofErr w:type="spellStart"/>
            <w:r w:rsidRPr="00AF3316">
              <w:rPr>
                <w:rFonts w:ascii="Calibri" w:eastAsia="Times New Roman" w:hAnsi="Calibri" w:cs="Calibri"/>
                <w:color w:val="000000"/>
                <w:sz w:val="20"/>
                <w:szCs w:val="20"/>
              </w:rPr>
              <w:t>Pymts</w:t>
            </w:r>
            <w:proofErr w:type="spellEnd"/>
            <w:r w:rsidRPr="00AF3316">
              <w:rPr>
                <w:rFonts w:ascii="Calibri" w:eastAsia="Times New Roman" w:hAnsi="Calibri" w:cs="Calibri"/>
                <w:color w:val="000000"/>
                <w:sz w:val="20"/>
                <w:szCs w:val="20"/>
              </w:rPr>
              <w:t>. Due in Year 6 &amp; Beyond</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1,277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1,529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Operating Leases, Supplemental</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3,713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3,876 </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Operating Lease Payments Due in Year 1</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186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198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Operating Lease Payments Due in Year 2</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183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204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Operating Lease Payments Due in Year 3</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178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194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Operating Lease Payments Due in Year 4</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167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184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Operating Lease Payments Due in Year 5</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157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180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Operating Lease </w:t>
            </w:r>
            <w:proofErr w:type="spellStart"/>
            <w:r w:rsidRPr="00AF3316">
              <w:rPr>
                <w:rFonts w:ascii="Calibri" w:eastAsia="Times New Roman" w:hAnsi="Calibri" w:cs="Calibri"/>
                <w:color w:val="000000"/>
                <w:sz w:val="20"/>
                <w:szCs w:val="20"/>
              </w:rPr>
              <w:t>Pymts</w:t>
            </w:r>
            <w:proofErr w:type="spellEnd"/>
            <w:r w:rsidRPr="00AF3316">
              <w:rPr>
                <w:rFonts w:ascii="Calibri" w:eastAsia="Times New Roman" w:hAnsi="Calibri" w:cs="Calibri"/>
                <w:color w:val="000000"/>
                <w:sz w:val="20"/>
                <w:szCs w:val="20"/>
              </w:rPr>
              <w:t>. Due in 2-3 Years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361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398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Operating Lease </w:t>
            </w:r>
            <w:proofErr w:type="spellStart"/>
            <w:r w:rsidRPr="00AF3316">
              <w:rPr>
                <w:rFonts w:ascii="Calibri" w:eastAsia="Times New Roman" w:hAnsi="Calibri" w:cs="Calibri"/>
                <w:color w:val="000000"/>
                <w:sz w:val="20"/>
                <w:szCs w:val="20"/>
              </w:rPr>
              <w:t>Pymts</w:t>
            </w:r>
            <w:proofErr w:type="spellEnd"/>
            <w:r w:rsidRPr="00AF3316">
              <w:rPr>
                <w:rFonts w:ascii="Calibri" w:eastAsia="Times New Roman" w:hAnsi="Calibri" w:cs="Calibri"/>
                <w:color w:val="000000"/>
                <w:sz w:val="20"/>
                <w:szCs w:val="20"/>
              </w:rPr>
              <w:t>. Due in 4-5 Years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324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364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proofErr w:type="spellStart"/>
            <w:r w:rsidRPr="00AF3316">
              <w:rPr>
                <w:rFonts w:ascii="Calibri" w:eastAsia="Times New Roman" w:hAnsi="Calibri" w:cs="Calibri"/>
                <w:color w:val="000000"/>
                <w:sz w:val="20"/>
                <w:szCs w:val="20"/>
              </w:rPr>
              <w:t>Oper</w:t>
            </w:r>
            <w:proofErr w:type="spellEnd"/>
            <w:r w:rsidRPr="00AF3316">
              <w:rPr>
                <w:rFonts w:ascii="Calibri" w:eastAsia="Times New Roman" w:hAnsi="Calibri" w:cs="Calibri"/>
                <w:color w:val="000000"/>
                <w:sz w:val="20"/>
                <w:szCs w:val="20"/>
              </w:rPr>
              <w:t xml:space="preserve">. </w:t>
            </w:r>
            <w:proofErr w:type="spellStart"/>
            <w:r w:rsidRPr="00AF3316">
              <w:rPr>
                <w:rFonts w:ascii="Calibri" w:eastAsia="Times New Roman" w:hAnsi="Calibri" w:cs="Calibri"/>
                <w:color w:val="000000"/>
                <w:sz w:val="20"/>
                <w:szCs w:val="20"/>
              </w:rPr>
              <w:t>Lse</w:t>
            </w:r>
            <w:proofErr w:type="spellEnd"/>
            <w:r w:rsidRPr="00AF3316">
              <w:rPr>
                <w:rFonts w:ascii="Calibri" w:eastAsia="Times New Roman" w:hAnsi="Calibri" w:cs="Calibri"/>
                <w:color w:val="000000"/>
                <w:sz w:val="20"/>
                <w:szCs w:val="20"/>
              </w:rPr>
              <w:t xml:space="preserve">. </w:t>
            </w:r>
            <w:proofErr w:type="spellStart"/>
            <w:r w:rsidRPr="00AF3316">
              <w:rPr>
                <w:rFonts w:ascii="Calibri" w:eastAsia="Times New Roman" w:hAnsi="Calibri" w:cs="Calibri"/>
                <w:color w:val="000000"/>
                <w:sz w:val="20"/>
                <w:szCs w:val="20"/>
              </w:rPr>
              <w:t>Pymts</w:t>
            </w:r>
            <w:proofErr w:type="spellEnd"/>
            <w:r w:rsidRPr="00AF3316">
              <w:rPr>
                <w:rFonts w:ascii="Calibri" w:eastAsia="Times New Roman" w:hAnsi="Calibri" w:cs="Calibri"/>
                <w:color w:val="000000"/>
                <w:sz w:val="20"/>
                <w:szCs w:val="20"/>
              </w:rPr>
              <w:t>. Due in Year 6 &amp; Beyond</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2,842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2,916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Funded Status</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(7)</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Pension Obligation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3,558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3,760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Plan Assets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3,607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3,785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Funded Status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49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25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Unfunded Plan Obligations</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39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32 </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Period End Assumptions</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Discount Rate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4.70%</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4.40%</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Compensation Rate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3.00%</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3.00%</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Net Assets Recognized on Balance Sheet</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10 </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lastRenderedPageBreak/>
              <w:t>Prepaid Benefits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66 </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Accrued Liabilities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FF0000"/>
                <w:sz w:val="20"/>
                <w:szCs w:val="20"/>
              </w:rPr>
              <w:t>(56)</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E9EFF6"/>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Asset Allocation</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08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c>
          <w:tcPr>
            <w:tcW w:w="1116" w:type="dxa"/>
            <w:tcBorders>
              <w:top w:val="single" w:sz="8" w:space="0" w:color="E5EBF4"/>
              <w:left w:val="nil"/>
              <w:bottom w:val="nil"/>
              <w:right w:val="nil"/>
            </w:tcBorders>
            <w:shd w:val="clear" w:color="000000" w:fill="E9EFF6"/>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Equity %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26.00%</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23.00%</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Debt Securities %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44.00%</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43.00%</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000000" w:fill="F2F4F9"/>
            <w:noWrap/>
            <w:vAlign w:val="bottom"/>
            <w:hideMark/>
          </w:tcPr>
          <w:p w:rsidR="00AF3316" w:rsidRPr="00AF3316" w:rsidRDefault="00AF3316" w:rsidP="00AF3316">
            <w:pPr>
              <w:spacing w:after="0" w:line="240" w:lineRule="auto"/>
              <w:ind w:firstLineChars="200" w:firstLine="400"/>
              <w:rPr>
                <w:rFonts w:ascii="Calibri" w:eastAsia="Times New Roman" w:hAnsi="Calibri" w:cs="Calibri"/>
                <w:color w:val="000000"/>
                <w:sz w:val="20"/>
                <w:szCs w:val="20"/>
              </w:rPr>
            </w:pPr>
            <w:r w:rsidRPr="00AF3316">
              <w:rPr>
                <w:rFonts w:ascii="Calibri" w:eastAsia="Times New Roman" w:hAnsi="Calibri" w:cs="Calibri"/>
                <w:color w:val="000000"/>
                <w:sz w:val="20"/>
                <w:szCs w:val="20"/>
              </w:rPr>
              <w:t>Other Investments % - Domestic</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30.00%</w:t>
            </w:r>
          </w:p>
        </w:tc>
        <w:tc>
          <w:tcPr>
            <w:tcW w:w="108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34.00%</w:t>
            </w:r>
          </w:p>
        </w:tc>
        <w:tc>
          <w:tcPr>
            <w:tcW w:w="1116" w:type="dxa"/>
            <w:tcBorders>
              <w:top w:val="single" w:sz="8" w:space="0" w:color="E5EBF4"/>
              <w:left w:val="nil"/>
              <w:bottom w:val="nil"/>
              <w:right w:val="nil"/>
            </w:tcBorders>
            <w:shd w:val="clear" w:color="000000" w:fill="F5F6FA"/>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300"/>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Plan Obligations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3,597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3,792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r w:rsidR="00AF3316" w:rsidRPr="00AF3316" w:rsidTr="00AF3316">
        <w:trPr>
          <w:trHeight w:val="288"/>
        </w:trPr>
        <w:tc>
          <w:tcPr>
            <w:tcW w:w="4272" w:type="dxa"/>
            <w:tcBorders>
              <w:top w:val="single" w:sz="8" w:space="0" w:color="E5EBF4"/>
              <w:left w:val="nil"/>
              <w:bottom w:val="nil"/>
              <w:right w:val="single" w:sz="8" w:space="0" w:color="CCCCCC"/>
            </w:tcBorders>
            <w:shd w:val="clear" w:color="auto" w:fill="auto"/>
            <w:noWrap/>
            <w:vAlign w:val="bottom"/>
            <w:hideMark/>
          </w:tcPr>
          <w:p w:rsidR="00AF3316" w:rsidRPr="00AF3316" w:rsidRDefault="00AF3316" w:rsidP="00AF3316">
            <w:pPr>
              <w:spacing w:after="0" w:line="240" w:lineRule="auto"/>
              <w:rPr>
                <w:rFonts w:ascii="Calibri" w:eastAsia="Times New Roman" w:hAnsi="Calibri" w:cs="Calibri"/>
                <w:color w:val="000000"/>
                <w:sz w:val="20"/>
                <w:szCs w:val="20"/>
              </w:rPr>
            </w:pPr>
            <w:r w:rsidRPr="00AF3316">
              <w:rPr>
                <w:rFonts w:ascii="Calibri" w:eastAsia="Times New Roman" w:hAnsi="Calibri" w:cs="Calibri"/>
                <w:color w:val="000000"/>
                <w:sz w:val="20"/>
                <w:szCs w:val="20"/>
              </w:rPr>
              <w:t>Total Plan Assets</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3,607 </w:t>
            </w:r>
          </w:p>
        </w:tc>
        <w:tc>
          <w:tcPr>
            <w:tcW w:w="108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 xml:space="preserve">3,785 </w:t>
            </w:r>
          </w:p>
        </w:tc>
        <w:tc>
          <w:tcPr>
            <w:tcW w:w="1116" w:type="dxa"/>
            <w:tcBorders>
              <w:top w:val="single" w:sz="8" w:space="0" w:color="E5EBF4"/>
              <w:left w:val="nil"/>
              <w:bottom w:val="nil"/>
              <w:right w:val="nil"/>
            </w:tcBorders>
            <w:shd w:val="clear" w:color="auto" w:fill="auto"/>
            <w:vAlign w:val="bottom"/>
            <w:hideMark/>
          </w:tcPr>
          <w:p w:rsidR="00AF3316" w:rsidRPr="00AF3316" w:rsidRDefault="00AF3316" w:rsidP="00AF3316">
            <w:pPr>
              <w:spacing w:after="0" w:line="240" w:lineRule="auto"/>
              <w:jc w:val="right"/>
              <w:rPr>
                <w:rFonts w:ascii="Calibri" w:eastAsia="Times New Roman" w:hAnsi="Calibri" w:cs="Calibri"/>
                <w:color w:val="000000"/>
                <w:sz w:val="20"/>
                <w:szCs w:val="20"/>
              </w:rPr>
            </w:pPr>
            <w:r w:rsidRPr="00AF3316">
              <w:rPr>
                <w:rFonts w:ascii="Calibri" w:eastAsia="Times New Roman" w:hAnsi="Calibri" w:cs="Calibri"/>
                <w:color w:val="000000"/>
                <w:sz w:val="20"/>
                <w:szCs w:val="20"/>
              </w:rPr>
              <w:t>--</w:t>
            </w:r>
          </w:p>
        </w:tc>
      </w:tr>
    </w:tbl>
    <w:p w:rsidR="00AF3316" w:rsidRDefault="00AF3316" w:rsidP="008A369B">
      <w:pPr>
        <w:rPr>
          <w:rFonts w:asciiTheme="majorBidi" w:hAnsiTheme="majorBidi" w:cstheme="majorBidi"/>
          <w:b/>
          <w:bCs/>
          <w:sz w:val="24"/>
          <w:szCs w:val="24"/>
        </w:rPr>
      </w:pPr>
    </w:p>
    <w:p w:rsidR="00AF3316" w:rsidRDefault="00AF3316" w:rsidP="008A369B">
      <w:pPr>
        <w:rPr>
          <w:rFonts w:asciiTheme="majorBidi" w:hAnsiTheme="majorBidi" w:cstheme="majorBidi"/>
          <w:b/>
          <w:bCs/>
          <w:sz w:val="24"/>
          <w:szCs w:val="24"/>
        </w:rPr>
      </w:pPr>
    </w:p>
    <w:p w:rsidR="00AF3316" w:rsidRPr="008A369B" w:rsidRDefault="00AF3316" w:rsidP="008A369B">
      <w:pPr>
        <w:rPr>
          <w:rFonts w:asciiTheme="majorBidi" w:hAnsiTheme="majorBidi" w:cstheme="majorBidi"/>
          <w:b/>
          <w:bCs/>
          <w:sz w:val="24"/>
          <w:szCs w:val="24"/>
        </w:rPr>
      </w:pPr>
    </w:p>
    <w:sectPr w:rsidR="00AF3316" w:rsidRPr="008A369B" w:rsidSect="008A369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A7" w:rsidRDefault="00A029A7" w:rsidP="008E3A8B">
      <w:pPr>
        <w:spacing w:after="0" w:line="240" w:lineRule="auto"/>
      </w:pPr>
      <w:r>
        <w:separator/>
      </w:r>
    </w:p>
  </w:endnote>
  <w:endnote w:type="continuationSeparator" w:id="0">
    <w:p w:rsidR="00A029A7" w:rsidRDefault="00A029A7" w:rsidP="008E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13787"/>
      <w:docPartObj>
        <w:docPartGallery w:val="Page Numbers (Bottom of Page)"/>
        <w:docPartUnique/>
      </w:docPartObj>
    </w:sdtPr>
    <w:sdtEndPr>
      <w:rPr>
        <w:noProof/>
      </w:rPr>
    </w:sdtEndPr>
    <w:sdtContent>
      <w:p w:rsidR="007D1D9A" w:rsidRDefault="007D1D9A">
        <w:pPr>
          <w:pStyle w:val="Footer"/>
          <w:jc w:val="right"/>
        </w:pPr>
        <w:r>
          <w:fldChar w:fldCharType="begin"/>
        </w:r>
        <w:r>
          <w:instrText xml:space="preserve"> PAGE   \* MERGEFORMAT </w:instrText>
        </w:r>
        <w:r>
          <w:fldChar w:fldCharType="separate"/>
        </w:r>
        <w:r w:rsidR="00077B92">
          <w:rPr>
            <w:noProof/>
          </w:rPr>
          <w:t>20</w:t>
        </w:r>
        <w:r>
          <w:rPr>
            <w:noProof/>
          </w:rPr>
          <w:fldChar w:fldCharType="end"/>
        </w:r>
      </w:p>
    </w:sdtContent>
  </w:sdt>
  <w:p w:rsidR="007D1D9A" w:rsidRDefault="007D1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A7" w:rsidRDefault="00A029A7" w:rsidP="008E3A8B">
      <w:pPr>
        <w:spacing w:after="0" w:line="240" w:lineRule="auto"/>
      </w:pPr>
      <w:r>
        <w:separator/>
      </w:r>
    </w:p>
  </w:footnote>
  <w:footnote w:type="continuationSeparator" w:id="0">
    <w:p w:rsidR="00A029A7" w:rsidRDefault="00A029A7" w:rsidP="008E3A8B">
      <w:pPr>
        <w:spacing w:after="0" w:line="240" w:lineRule="auto"/>
      </w:pPr>
      <w:r>
        <w:continuationSeparator/>
      </w:r>
    </w:p>
  </w:footnote>
  <w:footnote w:id="1">
    <w:p w:rsidR="007D1D9A" w:rsidRDefault="007D1D9A">
      <w:pPr>
        <w:pStyle w:val="FootnoteText"/>
      </w:pPr>
      <w:r>
        <w:rPr>
          <w:rStyle w:val="FootnoteReference"/>
        </w:rPr>
        <w:footnoteRef/>
      </w:r>
      <w:r>
        <w:t xml:space="preserve"> </w:t>
      </w:r>
      <w:r w:rsidRPr="00B835AB">
        <w:t>https://www.investopedia.com/features/industryhandbook/retail.asp</w:t>
      </w:r>
    </w:p>
  </w:footnote>
  <w:footnote w:id="2">
    <w:p w:rsidR="007D1D9A" w:rsidRDefault="007D1D9A" w:rsidP="00E007A9">
      <w:pPr>
        <w:pStyle w:val="FootnoteText"/>
      </w:pPr>
      <w:r>
        <w:rPr>
          <w:rStyle w:val="FootnoteReference"/>
        </w:rPr>
        <w:footnoteRef/>
      </w:r>
      <w:r>
        <w:t xml:space="preserve"> </w:t>
      </w:r>
      <w:r w:rsidRPr="008E3A8B">
        <w:t>https://www.mordorintelligence.com/industry-reports/retail-industry</w:t>
      </w:r>
    </w:p>
  </w:footnote>
  <w:footnote w:id="3">
    <w:p w:rsidR="007D1D9A" w:rsidRDefault="007D1D9A">
      <w:pPr>
        <w:pStyle w:val="FootnoteText"/>
      </w:pPr>
      <w:r>
        <w:rPr>
          <w:rStyle w:val="FootnoteReference"/>
        </w:rPr>
        <w:footnoteRef/>
      </w:r>
      <w:r>
        <w:t xml:space="preserve"> </w:t>
      </w:r>
      <w:r w:rsidRPr="002C5C8A">
        <w:t>https://finance.yahoo.com/quote/TGT/analysis?p=TGT</w:t>
      </w:r>
    </w:p>
  </w:footnote>
  <w:footnote w:id="4">
    <w:p w:rsidR="007D1D9A" w:rsidRDefault="007D1D9A">
      <w:pPr>
        <w:pStyle w:val="FootnoteText"/>
      </w:pPr>
      <w:r>
        <w:rPr>
          <w:rStyle w:val="FootnoteReference"/>
        </w:rPr>
        <w:footnoteRef/>
      </w:r>
      <w:r>
        <w:t xml:space="preserve"> </w:t>
      </w:r>
      <w:r w:rsidRPr="006A5731">
        <w:t>https://finance.yahoo.com/quote/DG/analysis?p=DG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66258"/>
    <w:multiLevelType w:val="hybridMultilevel"/>
    <w:tmpl w:val="0940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32"/>
    <w:rsid w:val="000122F8"/>
    <w:rsid w:val="00017A53"/>
    <w:rsid w:val="00077B92"/>
    <w:rsid w:val="000B0EBF"/>
    <w:rsid w:val="000B6BEF"/>
    <w:rsid w:val="000C1DDC"/>
    <w:rsid w:val="000C3AF4"/>
    <w:rsid w:val="00111502"/>
    <w:rsid w:val="00147C86"/>
    <w:rsid w:val="00162415"/>
    <w:rsid w:val="00211C66"/>
    <w:rsid w:val="00285C14"/>
    <w:rsid w:val="002B65A9"/>
    <w:rsid w:val="002C5C8A"/>
    <w:rsid w:val="002E2A32"/>
    <w:rsid w:val="003926E5"/>
    <w:rsid w:val="003A2EBC"/>
    <w:rsid w:val="003E1E28"/>
    <w:rsid w:val="003F6DBA"/>
    <w:rsid w:val="00406F00"/>
    <w:rsid w:val="00407CAA"/>
    <w:rsid w:val="004A62FE"/>
    <w:rsid w:val="004C4AAA"/>
    <w:rsid w:val="00522E9C"/>
    <w:rsid w:val="005C08E0"/>
    <w:rsid w:val="005F54F4"/>
    <w:rsid w:val="006261FC"/>
    <w:rsid w:val="00667433"/>
    <w:rsid w:val="006A5731"/>
    <w:rsid w:val="006F2F6F"/>
    <w:rsid w:val="007210E0"/>
    <w:rsid w:val="007606F1"/>
    <w:rsid w:val="007631A2"/>
    <w:rsid w:val="00773E60"/>
    <w:rsid w:val="007A0307"/>
    <w:rsid w:val="007B429B"/>
    <w:rsid w:val="007D1D9A"/>
    <w:rsid w:val="007E35DC"/>
    <w:rsid w:val="007F15D3"/>
    <w:rsid w:val="00865C5A"/>
    <w:rsid w:val="00871BEA"/>
    <w:rsid w:val="008A369B"/>
    <w:rsid w:val="008E095D"/>
    <w:rsid w:val="008E3A8B"/>
    <w:rsid w:val="00913028"/>
    <w:rsid w:val="009D3BF1"/>
    <w:rsid w:val="00A029A7"/>
    <w:rsid w:val="00A30109"/>
    <w:rsid w:val="00AE518F"/>
    <w:rsid w:val="00AF3316"/>
    <w:rsid w:val="00B01A77"/>
    <w:rsid w:val="00B22D8C"/>
    <w:rsid w:val="00B835AB"/>
    <w:rsid w:val="00B9216C"/>
    <w:rsid w:val="00BD45AB"/>
    <w:rsid w:val="00C14785"/>
    <w:rsid w:val="00C60E6E"/>
    <w:rsid w:val="00C857F5"/>
    <w:rsid w:val="00CD5150"/>
    <w:rsid w:val="00D13938"/>
    <w:rsid w:val="00D55F9A"/>
    <w:rsid w:val="00DD2055"/>
    <w:rsid w:val="00DF1829"/>
    <w:rsid w:val="00E007A9"/>
    <w:rsid w:val="00E01D69"/>
    <w:rsid w:val="00E327A7"/>
    <w:rsid w:val="00F70E87"/>
    <w:rsid w:val="00FC1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91012-FA82-45F1-9781-5F1DA235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2A32"/>
    <w:pPr>
      <w:spacing w:after="0" w:line="240" w:lineRule="auto"/>
    </w:pPr>
    <w:rPr>
      <w:rFonts w:eastAsiaTheme="minorEastAsia"/>
    </w:rPr>
  </w:style>
  <w:style w:type="character" w:customStyle="1" w:styleId="NoSpacingChar">
    <w:name w:val="No Spacing Char"/>
    <w:basedOn w:val="DefaultParagraphFont"/>
    <w:link w:val="NoSpacing"/>
    <w:uiPriority w:val="1"/>
    <w:rsid w:val="002E2A32"/>
    <w:rPr>
      <w:rFonts w:eastAsiaTheme="minorEastAsia"/>
    </w:rPr>
  </w:style>
  <w:style w:type="paragraph" w:styleId="ListParagraph">
    <w:name w:val="List Paragraph"/>
    <w:basedOn w:val="Normal"/>
    <w:uiPriority w:val="34"/>
    <w:qFormat/>
    <w:rsid w:val="002E2A32"/>
    <w:pPr>
      <w:ind w:left="720"/>
      <w:contextualSpacing/>
    </w:pPr>
    <w:rPr>
      <w:lang w:val="en-GB"/>
    </w:rPr>
  </w:style>
  <w:style w:type="paragraph" w:styleId="FootnoteText">
    <w:name w:val="footnote text"/>
    <w:basedOn w:val="Normal"/>
    <w:link w:val="FootnoteTextChar"/>
    <w:uiPriority w:val="99"/>
    <w:semiHidden/>
    <w:unhideWhenUsed/>
    <w:rsid w:val="008E3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A8B"/>
    <w:rPr>
      <w:sz w:val="20"/>
      <w:szCs w:val="20"/>
    </w:rPr>
  </w:style>
  <w:style w:type="character" w:styleId="FootnoteReference">
    <w:name w:val="footnote reference"/>
    <w:basedOn w:val="DefaultParagraphFont"/>
    <w:uiPriority w:val="99"/>
    <w:semiHidden/>
    <w:unhideWhenUsed/>
    <w:rsid w:val="008E3A8B"/>
    <w:rPr>
      <w:vertAlign w:val="superscript"/>
    </w:rPr>
  </w:style>
  <w:style w:type="paragraph" w:customStyle="1" w:styleId="Body">
    <w:name w:val="Body"/>
    <w:rsid w:val="000B0EB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C857F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57F5"/>
    <w:pPr>
      <w:outlineLvl w:val="9"/>
    </w:pPr>
  </w:style>
  <w:style w:type="paragraph" w:styleId="TOC2">
    <w:name w:val="toc 2"/>
    <w:basedOn w:val="Normal"/>
    <w:next w:val="Normal"/>
    <w:autoRedefine/>
    <w:uiPriority w:val="39"/>
    <w:unhideWhenUsed/>
    <w:rsid w:val="00C857F5"/>
    <w:pPr>
      <w:spacing w:after="100"/>
      <w:ind w:left="220"/>
    </w:pPr>
    <w:rPr>
      <w:rFonts w:eastAsiaTheme="minorEastAsia" w:cs="Times New Roman"/>
    </w:rPr>
  </w:style>
  <w:style w:type="paragraph" w:styleId="TOC1">
    <w:name w:val="toc 1"/>
    <w:basedOn w:val="Normal"/>
    <w:next w:val="Normal"/>
    <w:autoRedefine/>
    <w:uiPriority w:val="39"/>
    <w:unhideWhenUsed/>
    <w:rsid w:val="00C857F5"/>
    <w:pPr>
      <w:spacing w:after="100"/>
    </w:pPr>
    <w:rPr>
      <w:rFonts w:eastAsiaTheme="minorEastAsia" w:cs="Times New Roman"/>
    </w:rPr>
  </w:style>
  <w:style w:type="paragraph" w:styleId="TOC3">
    <w:name w:val="toc 3"/>
    <w:basedOn w:val="Normal"/>
    <w:next w:val="Normal"/>
    <w:autoRedefine/>
    <w:uiPriority w:val="39"/>
    <w:unhideWhenUsed/>
    <w:rsid w:val="00C857F5"/>
    <w:pPr>
      <w:spacing w:after="100"/>
      <w:ind w:left="440"/>
    </w:pPr>
    <w:rPr>
      <w:rFonts w:eastAsiaTheme="minorEastAsia" w:cs="Times New Roman"/>
    </w:rPr>
  </w:style>
  <w:style w:type="paragraph" w:styleId="Header">
    <w:name w:val="header"/>
    <w:basedOn w:val="Normal"/>
    <w:link w:val="HeaderChar"/>
    <w:uiPriority w:val="99"/>
    <w:unhideWhenUsed/>
    <w:rsid w:val="001115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1502"/>
  </w:style>
  <w:style w:type="paragraph" w:styleId="Footer">
    <w:name w:val="footer"/>
    <w:basedOn w:val="Normal"/>
    <w:link w:val="FooterChar"/>
    <w:uiPriority w:val="99"/>
    <w:unhideWhenUsed/>
    <w:rsid w:val="001115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502"/>
  </w:style>
  <w:style w:type="paragraph" w:styleId="Caption">
    <w:name w:val="caption"/>
    <w:basedOn w:val="Normal"/>
    <w:next w:val="Normal"/>
    <w:uiPriority w:val="35"/>
    <w:unhideWhenUsed/>
    <w:qFormat/>
    <w:rsid w:val="007A0307"/>
    <w:pPr>
      <w:spacing w:after="200" w:line="240" w:lineRule="auto"/>
    </w:pPr>
    <w:rPr>
      <w:i/>
      <w:iCs/>
      <w:color w:val="44546A" w:themeColor="text2"/>
      <w:sz w:val="18"/>
      <w:szCs w:val="18"/>
    </w:rPr>
  </w:style>
  <w:style w:type="character" w:styleId="Hyperlink">
    <w:name w:val="Hyperlink"/>
    <w:basedOn w:val="DefaultParagraphFont"/>
    <w:uiPriority w:val="99"/>
    <w:unhideWhenUsed/>
    <w:rsid w:val="00162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4765">
      <w:bodyDiv w:val="1"/>
      <w:marLeft w:val="0"/>
      <w:marRight w:val="0"/>
      <w:marTop w:val="0"/>
      <w:marBottom w:val="0"/>
      <w:divBdr>
        <w:top w:val="none" w:sz="0" w:space="0" w:color="auto"/>
        <w:left w:val="none" w:sz="0" w:space="0" w:color="auto"/>
        <w:bottom w:val="none" w:sz="0" w:space="0" w:color="auto"/>
        <w:right w:val="none" w:sz="0" w:space="0" w:color="auto"/>
      </w:divBdr>
    </w:div>
    <w:div w:id="1373771814">
      <w:bodyDiv w:val="1"/>
      <w:marLeft w:val="0"/>
      <w:marRight w:val="0"/>
      <w:marTop w:val="0"/>
      <w:marBottom w:val="0"/>
      <w:divBdr>
        <w:top w:val="none" w:sz="0" w:space="0" w:color="auto"/>
        <w:left w:val="none" w:sz="0" w:space="0" w:color="auto"/>
        <w:bottom w:val="none" w:sz="0" w:space="0" w:color="auto"/>
        <w:right w:val="none" w:sz="0" w:space="0" w:color="auto"/>
      </w:divBdr>
    </w:div>
    <w:div w:id="1746296418">
      <w:bodyDiv w:val="1"/>
      <w:marLeft w:val="0"/>
      <w:marRight w:val="0"/>
      <w:marTop w:val="0"/>
      <w:marBottom w:val="0"/>
      <w:divBdr>
        <w:top w:val="none" w:sz="0" w:space="0" w:color="auto"/>
        <w:left w:val="none" w:sz="0" w:space="0" w:color="auto"/>
        <w:bottom w:val="none" w:sz="0" w:space="0" w:color="auto"/>
        <w:right w:val="none" w:sz="0" w:space="0" w:color="auto"/>
      </w:divBdr>
    </w:div>
    <w:div w:id="1823689708">
      <w:bodyDiv w:val="1"/>
      <w:marLeft w:val="0"/>
      <w:marRight w:val="0"/>
      <w:marTop w:val="0"/>
      <w:marBottom w:val="0"/>
      <w:divBdr>
        <w:top w:val="none" w:sz="0" w:space="0" w:color="auto"/>
        <w:left w:val="none" w:sz="0" w:space="0" w:color="auto"/>
        <w:bottom w:val="none" w:sz="0" w:space="0" w:color="auto"/>
        <w:right w:val="none" w:sz="0" w:space="0" w:color="auto"/>
      </w:divBdr>
    </w:div>
    <w:div w:id="21223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vestopedia.com/features/industryhandbook/retail.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45760-CFBD-42A9-9AF3-7418CC62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Financial Statement Analysis Project For Investment Recommendations: Which of Target and Dollar General is more corporately successful, and is deemed as a safer option for investment?</dc:subject>
  <dc:creator>By: Farah Termos, Laya Rifai, Nadia Bou Assi &amp; Reine Slim</dc:creator>
  <cp:keywords/>
  <dc:description/>
  <cp:lastModifiedBy>FaRaH TeRmOs</cp:lastModifiedBy>
  <cp:revision>3</cp:revision>
  <dcterms:created xsi:type="dcterms:W3CDTF">2018-11-26T18:08:00Z</dcterms:created>
  <dcterms:modified xsi:type="dcterms:W3CDTF">2018-11-26T18:10:00Z</dcterms:modified>
</cp:coreProperties>
</file>